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810D02" w:rsidP="002B25B5">
      <w:pPr>
        <w:bidi/>
        <w:jc w:val="center"/>
        <w:rPr>
          <w:rtl/>
          <w:lang w:bidi="fa-IR"/>
        </w:rPr>
      </w:pPr>
      <w:r>
        <w:rPr>
          <w:rFonts w:hint="cs"/>
          <w:rtl/>
          <w:lang w:bidi="fa-IR"/>
        </w:rPr>
        <w:t>خارج اصول28</w:t>
      </w:r>
    </w:p>
    <w:p w:rsidR="00810D02" w:rsidRDefault="00292403" w:rsidP="002B25B5">
      <w:pPr>
        <w:bidi/>
        <w:jc w:val="center"/>
        <w:rPr>
          <w:rtl/>
          <w:lang w:bidi="fa-IR"/>
        </w:rPr>
      </w:pPr>
      <w:r>
        <w:rPr>
          <w:rFonts w:hint="cs"/>
          <w:rtl/>
          <w:lang w:bidi="fa-IR"/>
        </w:rPr>
        <w:t xml:space="preserve">یکشنبه </w:t>
      </w:r>
      <w:r w:rsidR="00810D02">
        <w:rPr>
          <w:rFonts w:hint="cs"/>
          <w:rtl/>
          <w:lang w:bidi="fa-IR"/>
        </w:rPr>
        <w:t>26/ 8/ 98</w:t>
      </w:r>
    </w:p>
    <w:p w:rsidR="00810D02" w:rsidRPr="002B25B5" w:rsidRDefault="00810D02" w:rsidP="002B25B5">
      <w:pPr>
        <w:pBdr>
          <w:bottom w:val="single" w:sz="12" w:space="1" w:color="auto"/>
        </w:pBdr>
        <w:bidi/>
        <w:jc w:val="center"/>
        <w:rPr>
          <w:color w:val="FF0000"/>
          <w:rtl/>
          <w:lang w:bidi="fa-IR"/>
        </w:rPr>
      </w:pPr>
      <w:r w:rsidRPr="002B25B5">
        <w:rPr>
          <w:rFonts w:hint="cs"/>
          <w:color w:val="FF0000"/>
          <w:rtl/>
          <w:lang w:bidi="fa-IR"/>
        </w:rPr>
        <w:t>*اقسام واجب*</w:t>
      </w:r>
    </w:p>
    <w:p w:rsidR="00237D72" w:rsidRDefault="00C73B78" w:rsidP="00A6114E">
      <w:pPr>
        <w:bidi/>
        <w:rPr>
          <w:rtl/>
          <w:lang w:bidi="fa-IR"/>
        </w:rPr>
      </w:pPr>
      <w:r>
        <w:rPr>
          <w:rFonts w:hint="cs"/>
          <w:rtl/>
          <w:lang w:bidi="fa-IR"/>
        </w:rPr>
        <w:t>کلام در فرمایش شهید صدر بود.</w:t>
      </w:r>
      <w:r w:rsidR="002B24B5">
        <w:rPr>
          <w:rFonts w:hint="cs"/>
          <w:rtl/>
          <w:lang w:bidi="fa-IR"/>
        </w:rPr>
        <w:t xml:space="preserve"> دو مقام داشت: قید منفصل و مت</w:t>
      </w:r>
      <w:r w:rsidR="00237D72">
        <w:rPr>
          <w:rFonts w:hint="cs"/>
          <w:rtl/>
          <w:lang w:bidi="fa-IR"/>
        </w:rPr>
        <w:t>ّ</w:t>
      </w:r>
      <w:r w:rsidR="002B24B5">
        <w:rPr>
          <w:rFonts w:hint="cs"/>
          <w:rtl/>
          <w:lang w:bidi="fa-IR"/>
        </w:rPr>
        <w:t>صل؛</w:t>
      </w:r>
      <w:r w:rsidR="00237D72">
        <w:rPr>
          <w:rFonts w:hint="cs"/>
          <w:rtl/>
          <w:lang w:bidi="fa-IR"/>
        </w:rPr>
        <w:t xml:space="preserve"> قید</w:t>
      </w:r>
      <w:r w:rsidR="002B24B5">
        <w:rPr>
          <w:rFonts w:hint="cs"/>
          <w:rtl/>
          <w:lang w:bidi="fa-IR"/>
        </w:rPr>
        <w:t xml:space="preserve"> منفصل تمام شد. بحث به متص</w:t>
      </w:r>
      <w:r w:rsidR="00237D72">
        <w:rPr>
          <w:rFonts w:hint="cs"/>
          <w:rtl/>
          <w:lang w:bidi="fa-IR"/>
        </w:rPr>
        <w:t>ّل رسید.</w:t>
      </w:r>
      <w:r w:rsidR="001F0588">
        <w:rPr>
          <w:rFonts w:hint="cs"/>
          <w:rtl/>
          <w:lang w:bidi="fa-IR"/>
        </w:rPr>
        <w:t xml:space="preserve"> فرمود قید مت</w:t>
      </w:r>
      <w:r w:rsidR="00E01157">
        <w:rPr>
          <w:rFonts w:hint="cs"/>
          <w:rtl/>
          <w:lang w:bidi="fa-IR"/>
        </w:rPr>
        <w:t>ّ</w:t>
      </w:r>
      <w:r w:rsidR="001F0588">
        <w:rPr>
          <w:rFonts w:hint="cs"/>
          <w:rtl/>
          <w:lang w:bidi="fa-IR"/>
        </w:rPr>
        <w:t>صل دو قسم است: اوّل مانند «تصد</w:t>
      </w:r>
      <w:r w:rsidR="002B25B5">
        <w:rPr>
          <w:rFonts w:hint="cs"/>
          <w:rtl/>
          <w:lang w:bidi="fa-IR"/>
        </w:rPr>
        <w:t>ّ</w:t>
      </w:r>
      <w:r w:rsidR="001F0588">
        <w:rPr>
          <w:rFonts w:hint="cs"/>
          <w:rtl/>
          <w:lang w:bidi="fa-IR"/>
        </w:rPr>
        <w:t>ق قائم</w:t>
      </w:r>
      <w:r w:rsidR="002B25B5">
        <w:rPr>
          <w:rFonts w:hint="cs"/>
          <w:rtl/>
          <w:lang w:bidi="fa-IR"/>
        </w:rPr>
        <w:t xml:space="preserve">ا» و دّوم مانند </w:t>
      </w:r>
      <w:r w:rsidR="00E02065">
        <w:rPr>
          <w:rFonts w:hint="cs"/>
          <w:rtl/>
          <w:lang w:bidi="fa-IR"/>
        </w:rPr>
        <w:t>«تصد</w:t>
      </w:r>
      <w:r w:rsidR="00E01157">
        <w:rPr>
          <w:rFonts w:hint="cs"/>
          <w:rtl/>
          <w:lang w:bidi="fa-IR"/>
        </w:rPr>
        <w:t>ّ</w:t>
      </w:r>
      <w:r w:rsidR="00E02065">
        <w:rPr>
          <w:rFonts w:hint="cs"/>
          <w:rtl/>
          <w:lang w:bidi="fa-IR"/>
        </w:rPr>
        <w:t xml:space="preserve">ق و </w:t>
      </w:r>
      <w:r w:rsidR="002B25B5">
        <w:rPr>
          <w:rFonts w:hint="cs"/>
          <w:rtl/>
          <w:lang w:bidi="fa-IR"/>
        </w:rPr>
        <w:t>لاتجزی الصدقة إ</w:t>
      </w:r>
      <w:r w:rsidR="001F0588">
        <w:rPr>
          <w:rFonts w:hint="cs"/>
          <w:rtl/>
          <w:lang w:bidi="fa-IR"/>
        </w:rPr>
        <w:t>ل</w:t>
      </w:r>
      <w:r w:rsidR="002B25B5">
        <w:rPr>
          <w:rFonts w:hint="cs"/>
          <w:rtl/>
          <w:lang w:bidi="fa-IR"/>
        </w:rPr>
        <w:t>ّ</w:t>
      </w:r>
      <w:r w:rsidR="001F0588">
        <w:rPr>
          <w:rFonts w:hint="cs"/>
          <w:rtl/>
          <w:lang w:bidi="fa-IR"/>
        </w:rPr>
        <w:t>ا من قیام».</w:t>
      </w:r>
    </w:p>
    <w:p w:rsidR="002B24B5" w:rsidRDefault="001F0588" w:rsidP="00E01157">
      <w:pPr>
        <w:bidi/>
        <w:rPr>
          <w:rtl/>
          <w:lang w:bidi="fa-IR"/>
        </w:rPr>
      </w:pPr>
      <w:r>
        <w:rPr>
          <w:rFonts w:hint="cs"/>
          <w:rtl/>
          <w:lang w:bidi="fa-IR"/>
        </w:rPr>
        <w:t xml:space="preserve">لکن </w:t>
      </w:r>
      <w:r w:rsidR="002B24B5">
        <w:rPr>
          <w:rFonts w:hint="cs"/>
          <w:rtl/>
          <w:lang w:bidi="fa-IR"/>
        </w:rPr>
        <w:t>حکم او</w:t>
      </w:r>
      <w:r w:rsidR="00E01157">
        <w:rPr>
          <w:rFonts w:hint="cs"/>
          <w:rtl/>
          <w:lang w:bidi="fa-IR"/>
        </w:rPr>
        <w:t>ّ</w:t>
      </w:r>
      <w:r w:rsidR="002B24B5">
        <w:rPr>
          <w:rFonts w:hint="cs"/>
          <w:rtl/>
          <w:lang w:bidi="fa-IR"/>
        </w:rPr>
        <w:t>لی</w:t>
      </w:r>
      <w:r w:rsidR="00E01157">
        <w:rPr>
          <w:rFonts w:hint="cs"/>
          <w:rtl/>
          <w:lang w:bidi="fa-IR"/>
        </w:rPr>
        <w:t xml:space="preserve"> و اصل</w:t>
      </w:r>
      <w:r w:rsidR="002B24B5">
        <w:rPr>
          <w:rFonts w:hint="cs"/>
          <w:rtl/>
          <w:lang w:bidi="fa-IR"/>
        </w:rPr>
        <w:t xml:space="preserve"> در تقیید مت</w:t>
      </w:r>
      <w:r w:rsidR="00237D72">
        <w:rPr>
          <w:rFonts w:hint="cs"/>
          <w:rtl/>
          <w:lang w:bidi="fa-IR"/>
        </w:rPr>
        <w:t>ّ</w:t>
      </w:r>
      <w:r w:rsidR="002B24B5">
        <w:rPr>
          <w:rFonts w:hint="cs"/>
          <w:rtl/>
          <w:lang w:bidi="fa-IR"/>
        </w:rPr>
        <w:t>صل آن است که کلام ظهور در اطلاق پیدا نمی کند نه در ماد</w:t>
      </w:r>
      <w:r w:rsidR="00237D72">
        <w:rPr>
          <w:rFonts w:hint="cs"/>
          <w:rtl/>
          <w:lang w:bidi="fa-IR"/>
        </w:rPr>
        <w:t>ّه و نه در هیئت بلکه بخاطر قید</w:t>
      </w:r>
      <w:r w:rsidR="006F225E">
        <w:rPr>
          <w:rFonts w:hint="cs"/>
          <w:rtl/>
          <w:lang w:bidi="fa-IR"/>
        </w:rPr>
        <w:t xml:space="preserve"> </w:t>
      </w:r>
      <w:r w:rsidR="00237D72">
        <w:rPr>
          <w:rFonts w:hint="cs"/>
          <w:rtl/>
          <w:lang w:bidi="fa-IR"/>
        </w:rPr>
        <w:t>از همان او</w:t>
      </w:r>
      <w:r w:rsidR="00E01157">
        <w:rPr>
          <w:rFonts w:hint="cs"/>
          <w:rtl/>
          <w:lang w:bidi="fa-IR"/>
        </w:rPr>
        <w:t>ّ</w:t>
      </w:r>
      <w:r w:rsidR="00237D72">
        <w:rPr>
          <w:rFonts w:hint="cs"/>
          <w:rtl/>
          <w:lang w:bidi="fa-IR"/>
        </w:rPr>
        <w:t xml:space="preserve">ل زمینه ی اطلاق از بین می رود. </w:t>
      </w:r>
      <w:r w:rsidR="006F225E">
        <w:rPr>
          <w:rFonts w:hint="cs"/>
          <w:rtl/>
          <w:lang w:bidi="fa-IR"/>
        </w:rPr>
        <w:t>ام</w:t>
      </w:r>
      <w:r w:rsidR="00E01157">
        <w:rPr>
          <w:rFonts w:hint="cs"/>
          <w:rtl/>
          <w:lang w:bidi="fa-IR"/>
        </w:rPr>
        <w:t>ّ</w:t>
      </w:r>
      <w:r w:rsidR="006F225E">
        <w:rPr>
          <w:rFonts w:hint="cs"/>
          <w:rtl/>
          <w:lang w:bidi="fa-IR"/>
        </w:rPr>
        <w:t>ا طبق تفصیل شهید صدر ممکن است اینطور نباشد.</w:t>
      </w:r>
      <w:r w:rsidR="000844FA">
        <w:rPr>
          <w:rFonts w:hint="cs"/>
          <w:rtl/>
          <w:lang w:bidi="fa-IR"/>
        </w:rPr>
        <w:t xml:space="preserve"> بلکه</w:t>
      </w:r>
      <w:r w:rsidR="00E01157">
        <w:rPr>
          <w:rFonts w:hint="cs"/>
          <w:rtl/>
          <w:lang w:bidi="fa-IR"/>
        </w:rPr>
        <w:t xml:space="preserve"> اگر از سنخ مثال دوم باشد می تواند هر دو را مقید کند؛</w:t>
      </w:r>
      <w:r w:rsidR="00296B1E">
        <w:rPr>
          <w:rFonts w:hint="cs"/>
          <w:rtl/>
          <w:lang w:bidi="fa-IR"/>
        </w:rPr>
        <w:t xml:space="preserve"> و مانند قید منفصل</w:t>
      </w:r>
      <w:r w:rsidR="000844FA">
        <w:rPr>
          <w:rFonts w:hint="cs"/>
          <w:rtl/>
          <w:lang w:bidi="fa-IR"/>
        </w:rPr>
        <w:t xml:space="preserve"> باید ببینیم وحدت روی</w:t>
      </w:r>
      <w:r>
        <w:rPr>
          <w:rFonts w:hint="cs"/>
          <w:rtl/>
          <w:lang w:bidi="fa-IR"/>
        </w:rPr>
        <w:t>ّ</w:t>
      </w:r>
      <w:r w:rsidR="000844FA">
        <w:rPr>
          <w:rFonts w:hint="cs"/>
          <w:rtl/>
          <w:lang w:bidi="fa-IR"/>
        </w:rPr>
        <w:t xml:space="preserve">ه در تقیید </w:t>
      </w:r>
      <w:r w:rsidR="00E01157">
        <w:rPr>
          <w:rFonts w:hint="cs"/>
          <w:rtl/>
          <w:lang w:bidi="fa-IR"/>
        </w:rPr>
        <w:t>هست</w:t>
      </w:r>
      <w:r w:rsidR="000844FA">
        <w:rPr>
          <w:rFonts w:hint="cs"/>
          <w:rtl/>
          <w:lang w:bidi="fa-IR"/>
        </w:rPr>
        <w:t xml:space="preserve"> یا تعد</w:t>
      </w:r>
      <w:r>
        <w:rPr>
          <w:rFonts w:hint="cs"/>
          <w:rtl/>
          <w:lang w:bidi="fa-IR"/>
        </w:rPr>
        <w:t>ّ</w:t>
      </w:r>
      <w:r w:rsidR="000844FA">
        <w:rPr>
          <w:rFonts w:hint="cs"/>
          <w:rtl/>
          <w:lang w:bidi="fa-IR"/>
        </w:rPr>
        <w:t>د روی</w:t>
      </w:r>
      <w:r>
        <w:rPr>
          <w:rFonts w:hint="cs"/>
          <w:rtl/>
          <w:lang w:bidi="fa-IR"/>
        </w:rPr>
        <w:t>ّ</w:t>
      </w:r>
      <w:r w:rsidR="000844FA">
        <w:rPr>
          <w:rFonts w:hint="cs"/>
          <w:rtl/>
          <w:lang w:bidi="fa-IR"/>
        </w:rPr>
        <w:t>ه.</w:t>
      </w:r>
    </w:p>
    <w:p w:rsidR="00E67A17" w:rsidRDefault="00E67A17" w:rsidP="00E67A17">
      <w:pPr>
        <w:bidi/>
        <w:rPr>
          <w:rtl/>
          <w:lang w:bidi="fa-IR"/>
        </w:rPr>
      </w:pPr>
      <w:r>
        <w:rPr>
          <w:rFonts w:hint="cs"/>
          <w:rtl/>
          <w:lang w:bidi="fa-IR"/>
        </w:rPr>
        <w:t>نک</w:t>
      </w:r>
      <w:r w:rsidR="00E01157">
        <w:rPr>
          <w:rFonts w:hint="cs"/>
          <w:rtl/>
          <w:lang w:bidi="fa-IR"/>
        </w:rPr>
        <w:t>ت</w:t>
      </w:r>
      <w:r>
        <w:rPr>
          <w:rFonts w:hint="cs"/>
          <w:rtl/>
          <w:lang w:bidi="fa-IR"/>
        </w:rPr>
        <w:t>ة و تأمل</w:t>
      </w:r>
    </w:p>
    <w:p w:rsidR="00E67A17" w:rsidRDefault="00E67A17" w:rsidP="001F0588">
      <w:pPr>
        <w:bidi/>
        <w:rPr>
          <w:rtl/>
          <w:lang w:bidi="fa-IR"/>
        </w:rPr>
      </w:pPr>
      <w:r>
        <w:rPr>
          <w:rFonts w:hint="cs"/>
          <w:rtl/>
          <w:lang w:bidi="fa-IR"/>
        </w:rPr>
        <w:t>در فر مایش شهید دو نکته قابل تأمل است.</w:t>
      </w:r>
    </w:p>
    <w:p w:rsidR="00E67A17" w:rsidRDefault="00E01157" w:rsidP="00E67A17">
      <w:pPr>
        <w:bidi/>
        <w:rPr>
          <w:rtl/>
          <w:lang w:bidi="fa-IR"/>
        </w:rPr>
      </w:pPr>
      <w:r>
        <w:rPr>
          <w:rFonts w:hint="cs"/>
          <w:rtl/>
          <w:lang w:bidi="fa-IR"/>
        </w:rPr>
        <w:t>مورد</w:t>
      </w:r>
      <w:r w:rsidR="00E67A17">
        <w:rPr>
          <w:rFonts w:hint="cs"/>
          <w:rtl/>
          <w:lang w:bidi="fa-IR"/>
        </w:rPr>
        <w:t xml:space="preserve"> او</w:t>
      </w:r>
      <w:r w:rsidR="00CF58F6">
        <w:rPr>
          <w:rFonts w:hint="cs"/>
          <w:rtl/>
          <w:lang w:bidi="fa-IR"/>
        </w:rPr>
        <w:t>ّ</w:t>
      </w:r>
      <w:r w:rsidR="00E67A17">
        <w:rPr>
          <w:rFonts w:hint="cs"/>
          <w:rtl/>
          <w:lang w:bidi="fa-IR"/>
        </w:rPr>
        <w:t>ل</w:t>
      </w:r>
    </w:p>
    <w:p w:rsidR="001F0588" w:rsidRDefault="00E67A17" w:rsidP="00E67A17">
      <w:pPr>
        <w:bidi/>
        <w:rPr>
          <w:rtl/>
          <w:lang w:bidi="fa-IR"/>
        </w:rPr>
      </w:pPr>
      <w:r>
        <w:rPr>
          <w:rFonts w:hint="cs"/>
          <w:rtl/>
          <w:lang w:bidi="fa-IR"/>
        </w:rPr>
        <w:t>ت</w:t>
      </w:r>
      <w:r w:rsidR="000844FA">
        <w:rPr>
          <w:rFonts w:hint="cs"/>
          <w:rtl/>
          <w:lang w:bidi="fa-IR"/>
        </w:rPr>
        <w:t>فصیلی که شهید صدر در تقیید مت</w:t>
      </w:r>
      <w:r w:rsidR="001F0588">
        <w:rPr>
          <w:rFonts w:hint="cs"/>
          <w:rtl/>
          <w:lang w:bidi="fa-IR"/>
        </w:rPr>
        <w:t>ّ</w:t>
      </w:r>
      <w:r w:rsidR="000844FA">
        <w:rPr>
          <w:rFonts w:hint="cs"/>
          <w:rtl/>
          <w:lang w:bidi="fa-IR"/>
        </w:rPr>
        <w:t>صل فرمود، محل</w:t>
      </w:r>
      <w:r w:rsidR="001F0588">
        <w:rPr>
          <w:rFonts w:hint="cs"/>
          <w:rtl/>
          <w:lang w:bidi="fa-IR"/>
        </w:rPr>
        <w:t>ّ</w:t>
      </w:r>
      <w:r w:rsidR="000844FA">
        <w:rPr>
          <w:rFonts w:hint="cs"/>
          <w:rtl/>
          <w:lang w:bidi="fa-IR"/>
        </w:rPr>
        <w:t xml:space="preserve"> تإم</w:t>
      </w:r>
      <w:r w:rsidR="001F0588">
        <w:rPr>
          <w:rFonts w:hint="cs"/>
          <w:rtl/>
          <w:lang w:bidi="fa-IR"/>
        </w:rPr>
        <w:t>ّ</w:t>
      </w:r>
      <w:r w:rsidR="000844FA">
        <w:rPr>
          <w:rFonts w:hint="cs"/>
          <w:rtl/>
          <w:lang w:bidi="fa-IR"/>
        </w:rPr>
        <w:t>ل است زیرا ملاک در ات</w:t>
      </w:r>
      <w:r w:rsidR="001F0588">
        <w:rPr>
          <w:rFonts w:hint="cs"/>
          <w:rtl/>
          <w:lang w:bidi="fa-IR"/>
        </w:rPr>
        <w:t>ّ</w:t>
      </w:r>
      <w:r w:rsidR="000844FA">
        <w:rPr>
          <w:rFonts w:hint="cs"/>
          <w:rtl/>
          <w:lang w:bidi="fa-IR"/>
        </w:rPr>
        <w:t>صال و انفصال</w:t>
      </w:r>
      <w:r w:rsidR="001F0588">
        <w:rPr>
          <w:rFonts w:hint="cs"/>
          <w:rtl/>
          <w:lang w:bidi="fa-IR"/>
        </w:rPr>
        <w:t>،</w:t>
      </w:r>
      <w:r w:rsidR="000844FA">
        <w:rPr>
          <w:rFonts w:hint="cs"/>
          <w:rtl/>
          <w:lang w:bidi="fa-IR"/>
        </w:rPr>
        <w:t xml:space="preserve"> عرف است. هرگاه عرف در رابطه با کلا</w:t>
      </w:r>
      <w:r w:rsidR="001F0588">
        <w:rPr>
          <w:rFonts w:hint="cs"/>
          <w:rtl/>
          <w:lang w:bidi="fa-IR"/>
        </w:rPr>
        <w:t>م</w:t>
      </w:r>
      <w:r w:rsidR="000844FA">
        <w:rPr>
          <w:rFonts w:hint="cs"/>
          <w:rtl/>
          <w:lang w:bidi="fa-IR"/>
        </w:rPr>
        <w:t>ی قائل شود که قید</w:t>
      </w:r>
      <w:r w:rsidR="001F0588">
        <w:rPr>
          <w:rFonts w:hint="cs"/>
          <w:rtl/>
          <w:lang w:bidi="fa-IR"/>
        </w:rPr>
        <w:t>،</w:t>
      </w:r>
      <w:r w:rsidR="000844FA">
        <w:rPr>
          <w:rFonts w:hint="cs"/>
          <w:rtl/>
          <w:lang w:bidi="fa-IR"/>
        </w:rPr>
        <w:t xml:space="preserve"> مت</w:t>
      </w:r>
      <w:r w:rsidR="001F0588">
        <w:rPr>
          <w:rFonts w:hint="cs"/>
          <w:rtl/>
          <w:lang w:bidi="fa-IR"/>
        </w:rPr>
        <w:t>ّ</w:t>
      </w:r>
      <w:r w:rsidR="000844FA">
        <w:rPr>
          <w:rFonts w:hint="cs"/>
          <w:rtl/>
          <w:lang w:bidi="fa-IR"/>
        </w:rPr>
        <w:t>صل یا منفصل</w:t>
      </w:r>
      <w:r w:rsidR="001F0588">
        <w:rPr>
          <w:rFonts w:hint="cs"/>
          <w:rtl/>
          <w:lang w:bidi="fa-IR"/>
        </w:rPr>
        <w:t xml:space="preserve"> آمده</w:t>
      </w:r>
      <w:r w:rsidR="001F0588" w:rsidRPr="001F0588">
        <w:rPr>
          <w:rFonts w:hint="cs"/>
          <w:rtl/>
          <w:lang w:bidi="fa-IR"/>
        </w:rPr>
        <w:t xml:space="preserve"> </w:t>
      </w:r>
      <w:r w:rsidR="001F0588">
        <w:rPr>
          <w:rFonts w:hint="cs"/>
          <w:rtl/>
          <w:lang w:bidi="fa-IR"/>
        </w:rPr>
        <w:t xml:space="preserve">است </w:t>
      </w:r>
      <w:r w:rsidR="000844FA">
        <w:rPr>
          <w:rFonts w:hint="cs"/>
          <w:rtl/>
          <w:lang w:bidi="fa-IR"/>
        </w:rPr>
        <w:t>، قضاوت</w:t>
      </w:r>
      <w:r w:rsidR="001F0588">
        <w:rPr>
          <w:rFonts w:hint="cs"/>
          <w:rtl/>
          <w:lang w:bidi="fa-IR"/>
        </w:rPr>
        <w:t xml:space="preserve"> یک محقق در نتیجه گرفتن از آن کلام،</w:t>
      </w:r>
      <w:r w:rsidR="000844FA">
        <w:rPr>
          <w:rFonts w:hint="cs"/>
          <w:rtl/>
          <w:lang w:bidi="fa-IR"/>
        </w:rPr>
        <w:t xml:space="preserve"> مبتنی بر حکم عرف است. مثلا</w:t>
      </w:r>
      <w:r w:rsidR="001F0588">
        <w:rPr>
          <w:rFonts w:hint="cs"/>
          <w:rtl/>
          <w:lang w:bidi="fa-IR"/>
        </w:rPr>
        <w:t>ً</w:t>
      </w:r>
      <w:r w:rsidR="000844FA">
        <w:rPr>
          <w:rFonts w:hint="cs"/>
          <w:rtl/>
          <w:lang w:bidi="fa-IR"/>
        </w:rPr>
        <w:t xml:space="preserve"> </w:t>
      </w:r>
      <w:r w:rsidR="001F0588">
        <w:rPr>
          <w:rFonts w:hint="cs"/>
          <w:rtl/>
          <w:lang w:bidi="fa-IR"/>
        </w:rPr>
        <w:t>«</w:t>
      </w:r>
      <w:r w:rsidR="000844FA">
        <w:rPr>
          <w:rFonts w:hint="cs"/>
          <w:rtl/>
          <w:lang w:bidi="fa-IR"/>
        </w:rPr>
        <w:t xml:space="preserve">تصدق و </w:t>
      </w:r>
      <w:r w:rsidR="001F0588">
        <w:rPr>
          <w:rFonts w:hint="cs"/>
          <w:rtl/>
          <w:lang w:bidi="fa-IR"/>
        </w:rPr>
        <w:t>لایجزی الصدقة</w:t>
      </w:r>
      <w:r w:rsidR="000844FA">
        <w:rPr>
          <w:rFonts w:hint="cs"/>
          <w:rtl/>
          <w:lang w:bidi="fa-IR"/>
        </w:rPr>
        <w:t xml:space="preserve"> الا مع القیام</w:t>
      </w:r>
      <w:r w:rsidR="001F0588">
        <w:rPr>
          <w:rFonts w:hint="cs"/>
          <w:rtl/>
          <w:lang w:bidi="fa-IR"/>
        </w:rPr>
        <w:t>»</w:t>
      </w:r>
      <w:r w:rsidR="000844FA">
        <w:rPr>
          <w:rFonts w:hint="cs"/>
          <w:rtl/>
          <w:lang w:bidi="fa-IR"/>
        </w:rPr>
        <w:t xml:space="preserve"> نگاه عرفی به واو است که </w:t>
      </w:r>
      <w:r w:rsidR="001F0588">
        <w:rPr>
          <w:rFonts w:hint="cs"/>
          <w:rtl/>
          <w:lang w:bidi="fa-IR"/>
        </w:rPr>
        <w:t>«</w:t>
      </w:r>
      <w:r w:rsidR="000844FA">
        <w:rPr>
          <w:rFonts w:hint="cs"/>
          <w:rtl/>
          <w:lang w:bidi="fa-IR"/>
        </w:rPr>
        <w:t>حالیه است یا عاطفه یا استینافیه</w:t>
      </w:r>
      <w:r w:rsidR="001F0588">
        <w:rPr>
          <w:rFonts w:hint="cs"/>
          <w:rtl/>
          <w:lang w:bidi="fa-IR"/>
        </w:rPr>
        <w:t>؟»:</w:t>
      </w:r>
    </w:p>
    <w:p w:rsidR="001F0588" w:rsidRDefault="001F0588" w:rsidP="001F0588">
      <w:pPr>
        <w:bidi/>
        <w:rPr>
          <w:rtl/>
          <w:lang w:bidi="fa-IR"/>
        </w:rPr>
      </w:pPr>
      <w:r>
        <w:rPr>
          <w:rFonts w:hint="cs"/>
          <w:rtl/>
          <w:lang w:bidi="fa-IR"/>
        </w:rPr>
        <w:t xml:space="preserve">الف) </w:t>
      </w:r>
      <w:r w:rsidR="00C36553">
        <w:rPr>
          <w:rFonts w:hint="cs"/>
          <w:rtl/>
          <w:lang w:bidi="fa-IR"/>
        </w:rPr>
        <w:t xml:space="preserve">اگر </w:t>
      </w:r>
      <w:r w:rsidR="000844FA">
        <w:rPr>
          <w:rFonts w:hint="cs"/>
          <w:rtl/>
          <w:lang w:bidi="fa-IR"/>
        </w:rPr>
        <w:t>استینافیه</w:t>
      </w:r>
      <w:r w:rsidR="00C36553">
        <w:rPr>
          <w:rFonts w:hint="cs"/>
          <w:rtl/>
          <w:lang w:bidi="fa-IR"/>
        </w:rPr>
        <w:t xml:space="preserve"> باشد،</w:t>
      </w:r>
      <w:r>
        <w:rPr>
          <w:rFonts w:hint="cs"/>
          <w:rtl/>
          <w:lang w:bidi="fa-IR"/>
        </w:rPr>
        <w:t xml:space="preserve"> گرچه أ</w:t>
      </w:r>
      <w:r w:rsidR="000844FA">
        <w:rPr>
          <w:rFonts w:hint="cs"/>
          <w:rtl/>
          <w:lang w:bidi="fa-IR"/>
        </w:rPr>
        <w:t>جزاء</w:t>
      </w:r>
      <w:r>
        <w:rPr>
          <w:rFonts w:hint="cs"/>
          <w:rtl/>
          <w:lang w:bidi="fa-IR"/>
        </w:rPr>
        <w:t xml:space="preserve"> این کلام</w:t>
      </w:r>
      <w:r w:rsidR="000844FA">
        <w:rPr>
          <w:rFonts w:hint="cs"/>
          <w:rtl/>
          <w:lang w:bidi="fa-IR"/>
        </w:rPr>
        <w:t xml:space="preserve"> در کنار هم هستند ولی در عالم واقع دو جمله است.</w:t>
      </w:r>
      <w:r w:rsidR="00F7491F">
        <w:rPr>
          <w:rFonts w:hint="cs"/>
          <w:rtl/>
          <w:lang w:bidi="fa-IR"/>
        </w:rPr>
        <w:t xml:space="preserve"> شاید تفصیل شهید صدر بخاطر این واقعی</w:t>
      </w:r>
      <w:r>
        <w:rPr>
          <w:rFonts w:hint="cs"/>
          <w:rtl/>
          <w:lang w:bidi="fa-IR"/>
        </w:rPr>
        <w:t>ّ</w:t>
      </w:r>
      <w:r w:rsidR="00F7491F">
        <w:rPr>
          <w:rFonts w:hint="cs"/>
          <w:rtl/>
          <w:lang w:bidi="fa-IR"/>
        </w:rPr>
        <w:t xml:space="preserve">ت لفظی است و فرمایش ایشان که </w:t>
      </w:r>
      <w:r>
        <w:rPr>
          <w:rFonts w:hint="cs"/>
          <w:rtl/>
          <w:lang w:bidi="fa-IR"/>
        </w:rPr>
        <w:t>«</w:t>
      </w:r>
      <w:r w:rsidR="00F7491F">
        <w:rPr>
          <w:rFonts w:hint="cs"/>
          <w:rtl/>
          <w:lang w:bidi="fa-IR"/>
        </w:rPr>
        <w:t>لاتجزی</w:t>
      </w:r>
      <w:r>
        <w:rPr>
          <w:rFonts w:hint="cs"/>
          <w:rtl/>
          <w:lang w:bidi="fa-IR"/>
        </w:rPr>
        <w:t>»</w:t>
      </w:r>
      <w:r w:rsidR="00F7491F">
        <w:rPr>
          <w:rFonts w:hint="cs"/>
          <w:rtl/>
          <w:lang w:bidi="fa-IR"/>
        </w:rPr>
        <w:t xml:space="preserve"> را </w:t>
      </w:r>
      <w:r>
        <w:rPr>
          <w:rFonts w:hint="cs"/>
          <w:rtl/>
          <w:lang w:bidi="fa-IR"/>
        </w:rPr>
        <w:t>یک</w:t>
      </w:r>
      <w:r w:rsidR="00F7491F">
        <w:rPr>
          <w:rFonts w:hint="cs"/>
          <w:rtl/>
          <w:lang w:bidi="fa-IR"/>
        </w:rPr>
        <w:t xml:space="preserve"> </w:t>
      </w:r>
      <w:r>
        <w:rPr>
          <w:rFonts w:hint="cs"/>
          <w:rtl/>
          <w:lang w:bidi="fa-IR"/>
        </w:rPr>
        <w:t>کبرا</w:t>
      </w:r>
      <w:r w:rsidR="00F7491F">
        <w:rPr>
          <w:rFonts w:hint="cs"/>
          <w:rtl/>
          <w:lang w:bidi="fa-IR"/>
        </w:rPr>
        <w:t>ی کل</w:t>
      </w:r>
      <w:r>
        <w:rPr>
          <w:rFonts w:hint="cs"/>
          <w:rtl/>
          <w:lang w:bidi="fa-IR"/>
        </w:rPr>
        <w:t>ّی می داند، بر این مبنا صحیح است؛</w:t>
      </w:r>
    </w:p>
    <w:p w:rsidR="001F0588" w:rsidRDefault="001F0588" w:rsidP="001F0588">
      <w:pPr>
        <w:bidi/>
        <w:rPr>
          <w:rtl/>
          <w:lang w:bidi="fa-IR"/>
        </w:rPr>
      </w:pPr>
      <w:r>
        <w:rPr>
          <w:rFonts w:hint="cs"/>
          <w:rtl/>
          <w:lang w:bidi="fa-IR"/>
        </w:rPr>
        <w:t xml:space="preserve">ب) اما </w:t>
      </w:r>
      <w:r w:rsidR="00C36553">
        <w:rPr>
          <w:rFonts w:hint="cs"/>
          <w:rtl/>
          <w:lang w:bidi="fa-IR"/>
        </w:rPr>
        <w:t>اگر</w:t>
      </w:r>
      <w:r w:rsidR="00F7491F">
        <w:rPr>
          <w:rFonts w:hint="cs"/>
          <w:rtl/>
          <w:lang w:bidi="fa-IR"/>
        </w:rPr>
        <w:t xml:space="preserve"> عاطفه</w:t>
      </w:r>
      <w:r w:rsidR="00C36553">
        <w:rPr>
          <w:rFonts w:hint="cs"/>
          <w:rtl/>
          <w:lang w:bidi="fa-IR"/>
        </w:rPr>
        <w:t xml:space="preserve"> باشد،</w:t>
      </w:r>
      <w:r w:rsidR="00F7491F">
        <w:rPr>
          <w:rFonts w:hint="cs"/>
          <w:rtl/>
          <w:lang w:bidi="fa-IR"/>
        </w:rPr>
        <w:t xml:space="preserve"> طبق قواعد</w:t>
      </w:r>
      <w:r>
        <w:rPr>
          <w:rFonts w:hint="cs"/>
          <w:rtl/>
          <w:lang w:bidi="fa-IR"/>
        </w:rPr>
        <w:t>،</w:t>
      </w:r>
      <w:r w:rsidR="00F7491F">
        <w:rPr>
          <w:rFonts w:hint="cs"/>
          <w:rtl/>
          <w:lang w:bidi="fa-IR"/>
        </w:rPr>
        <w:t xml:space="preserve"> متم</w:t>
      </w:r>
      <w:r>
        <w:rPr>
          <w:rFonts w:hint="cs"/>
          <w:rtl/>
          <w:lang w:bidi="fa-IR"/>
        </w:rPr>
        <w:t>ّ</w:t>
      </w:r>
      <w:r w:rsidR="00F7491F">
        <w:rPr>
          <w:rFonts w:hint="cs"/>
          <w:rtl/>
          <w:lang w:bidi="fa-IR"/>
        </w:rPr>
        <w:t>م معطوف علیه است و مجموعا</w:t>
      </w:r>
      <w:r>
        <w:rPr>
          <w:rFonts w:hint="cs"/>
          <w:rtl/>
          <w:lang w:bidi="fa-IR"/>
        </w:rPr>
        <w:t>ً</w:t>
      </w:r>
      <w:r w:rsidR="00F7491F">
        <w:rPr>
          <w:rFonts w:hint="cs"/>
          <w:rtl/>
          <w:lang w:bidi="fa-IR"/>
        </w:rPr>
        <w:t xml:space="preserve"> یک کلام </w:t>
      </w:r>
      <w:r>
        <w:rPr>
          <w:rFonts w:hint="cs"/>
          <w:rtl/>
          <w:lang w:bidi="fa-IR"/>
        </w:rPr>
        <w:t>می باشد</w:t>
      </w:r>
      <w:r w:rsidR="00F7491F">
        <w:rPr>
          <w:rFonts w:hint="cs"/>
          <w:rtl/>
          <w:lang w:bidi="fa-IR"/>
        </w:rPr>
        <w:t xml:space="preserve"> که</w:t>
      </w:r>
      <w:r>
        <w:rPr>
          <w:rFonts w:hint="cs"/>
          <w:rtl/>
          <w:lang w:bidi="fa-IR"/>
        </w:rPr>
        <w:t xml:space="preserve"> در اینجا</w:t>
      </w:r>
      <w:r w:rsidR="00F7491F">
        <w:rPr>
          <w:rFonts w:hint="cs"/>
          <w:rtl/>
          <w:lang w:bidi="fa-IR"/>
        </w:rPr>
        <w:t xml:space="preserve"> </w:t>
      </w:r>
      <w:r>
        <w:rPr>
          <w:rFonts w:hint="cs"/>
          <w:rtl/>
          <w:lang w:bidi="fa-IR"/>
        </w:rPr>
        <w:t>قید</w:t>
      </w:r>
      <w:r w:rsidR="00F7491F">
        <w:rPr>
          <w:rFonts w:hint="cs"/>
          <w:rtl/>
          <w:lang w:bidi="fa-IR"/>
        </w:rPr>
        <w:t xml:space="preserve"> مت</w:t>
      </w:r>
      <w:r>
        <w:rPr>
          <w:rFonts w:hint="cs"/>
          <w:rtl/>
          <w:lang w:bidi="fa-IR"/>
        </w:rPr>
        <w:t>ّ</w:t>
      </w:r>
      <w:r w:rsidR="00F7491F">
        <w:rPr>
          <w:rFonts w:hint="cs"/>
          <w:rtl/>
          <w:lang w:bidi="fa-IR"/>
        </w:rPr>
        <w:t>صل است.</w:t>
      </w:r>
    </w:p>
    <w:p w:rsidR="001F0588" w:rsidRDefault="001F0588" w:rsidP="001F0588">
      <w:pPr>
        <w:bidi/>
        <w:rPr>
          <w:rtl/>
          <w:lang w:bidi="fa-IR"/>
        </w:rPr>
      </w:pPr>
      <w:r>
        <w:rPr>
          <w:rFonts w:hint="cs"/>
          <w:rtl/>
          <w:lang w:bidi="fa-IR"/>
        </w:rPr>
        <w:lastRenderedPageBreak/>
        <w:t xml:space="preserve">ج) </w:t>
      </w:r>
      <w:r w:rsidR="00C36553">
        <w:rPr>
          <w:rFonts w:hint="cs"/>
          <w:rtl/>
          <w:lang w:bidi="fa-IR"/>
        </w:rPr>
        <w:t xml:space="preserve">و اگر </w:t>
      </w:r>
      <w:r w:rsidR="00D129F1">
        <w:rPr>
          <w:rFonts w:hint="cs"/>
          <w:rtl/>
          <w:lang w:bidi="fa-IR"/>
        </w:rPr>
        <w:t>مرد</w:t>
      </w:r>
      <w:r w:rsidR="00C36553">
        <w:rPr>
          <w:rFonts w:hint="cs"/>
          <w:rtl/>
          <w:lang w:bidi="fa-IR"/>
        </w:rPr>
        <w:t>ّ</w:t>
      </w:r>
      <w:r w:rsidR="00D129F1">
        <w:rPr>
          <w:rFonts w:hint="cs"/>
          <w:rtl/>
          <w:lang w:bidi="fa-IR"/>
        </w:rPr>
        <w:t xml:space="preserve">د بین عاطفه </w:t>
      </w:r>
      <w:r>
        <w:rPr>
          <w:rFonts w:hint="cs"/>
          <w:rtl/>
          <w:lang w:bidi="fa-IR"/>
        </w:rPr>
        <w:t>و</w:t>
      </w:r>
      <w:r w:rsidR="00D129F1">
        <w:rPr>
          <w:rFonts w:hint="cs"/>
          <w:rtl/>
          <w:lang w:bidi="fa-IR"/>
        </w:rPr>
        <w:t xml:space="preserve"> استینافیه</w:t>
      </w:r>
      <w:r w:rsidR="00C36553">
        <w:rPr>
          <w:rFonts w:hint="cs"/>
          <w:rtl/>
          <w:lang w:bidi="fa-IR"/>
        </w:rPr>
        <w:t xml:space="preserve"> باشد،</w:t>
      </w:r>
      <w:r w:rsidR="00D129F1">
        <w:rPr>
          <w:rFonts w:hint="cs"/>
          <w:rtl/>
          <w:lang w:bidi="fa-IR"/>
        </w:rPr>
        <w:t xml:space="preserve"> کلام گرفتار اجمال می شود و اجمال در لفظ، استفاده ی اجتهادی را از بین می برد و باید رجوع کنیم او</w:t>
      </w:r>
      <w:r>
        <w:rPr>
          <w:rFonts w:hint="cs"/>
          <w:rtl/>
          <w:lang w:bidi="fa-IR"/>
        </w:rPr>
        <w:t>ّ</w:t>
      </w:r>
      <w:r w:rsidR="00D129F1">
        <w:rPr>
          <w:rFonts w:hint="cs"/>
          <w:rtl/>
          <w:lang w:bidi="fa-IR"/>
        </w:rPr>
        <w:t>لا</w:t>
      </w:r>
      <w:r>
        <w:rPr>
          <w:rFonts w:hint="cs"/>
          <w:rtl/>
          <w:lang w:bidi="fa-IR"/>
        </w:rPr>
        <w:t>ً</w:t>
      </w:r>
      <w:r w:rsidR="00D129F1">
        <w:rPr>
          <w:rFonts w:hint="cs"/>
          <w:rtl/>
          <w:lang w:bidi="fa-IR"/>
        </w:rPr>
        <w:t xml:space="preserve"> به قرائن</w:t>
      </w:r>
      <w:r>
        <w:rPr>
          <w:rFonts w:hint="cs"/>
          <w:rtl/>
          <w:lang w:bidi="fa-IR"/>
        </w:rPr>
        <w:t xml:space="preserve"> تعیین کننده</w:t>
      </w:r>
      <w:r w:rsidR="00D129F1">
        <w:rPr>
          <w:rFonts w:hint="cs"/>
          <w:rtl/>
          <w:lang w:bidi="fa-IR"/>
        </w:rPr>
        <w:t xml:space="preserve"> و ثانیا</w:t>
      </w:r>
      <w:r>
        <w:rPr>
          <w:rFonts w:hint="cs"/>
          <w:rtl/>
          <w:lang w:bidi="fa-IR"/>
        </w:rPr>
        <w:t>ً</w:t>
      </w:r>
      <w:r w:rsidR="00D129F1">
        <w:rPr>
          <w:rFonts w:hint="cs"/>
          <w:rtl/>
          <w:lang w:bidi="fa-IR"/>
        </w:rPr>
        <w:t xml:space="preserve"> به اصول عملی</w:t>
      </w:r>
      <w:r>
        <w:rPr>
          <w:rFonts w:hint="cs"/>
          <w:rtl/>
          <w:lang w:bidi="fa-IR"/>
        </w:rPr>
        <w:t>ّ</w:t>
      </w:r>
      <w:r w:rsidR="00F54D83">
        <w:rPr>
          <w:rFonts w:hint="cs"/>
          <w:rtl/>
          <w:lang w:bidi="fa-IR"/>
        </w:rPr>
        <w:t>ه اگر قرینه ای وجود نداشت.</w:t>
      </w:r>
    </w:p>
    <w:p w:rsidR="00A63701" w:rsidRDefault="00A63701" w:rsidP="00A63701">
      <w:pPr>
        <w:bidi/>
        <w:rPr>
          <w:rtl/>
          <w:lang w:bidi="fa-IR"/>
        </w:rPr>
      </w:pPr>
      <w:r>
        <w:rPr>
          <w:rFonts w:hint="cs"/>
          <w:rtl/>
          <w:lang w:bidi="fa-IR"/>
        </w:rPr>
        <w:t>منابع این بحث:</w:t>
      </w:r>
    </w:p>
    <w:p w:rsidR="00A63701" w:rsidRDefault="00A63701" w:rsidP="00A63701">
      <w:pPr>
        <w:bidi/>
        <w:rPr>
          <w:rtl/>
          <w:lang w:bidi="fa-IR"/>
        </w:rPr>
      </w:pPr>
      <w:r>
        <w:rPr>
          <w:rFonts w:hint="cs"/>
          <w:rtl/>
          <w:lang w:bidi="fa-IR"/>
        </w:rPr>
        <w:t>1.بحوث.</w:t>
      </w:r>
      <w:r w:rsidR="0049738A">
        <w:rPr>
          <w:rStyle w:val="FootnoteReference"/>
          <w:rtl/>
          <w:lang w:bidi="fa-IR"/>
        </w:rPr>
        <w:footnoteReference w:id="1"/>
      </w:r>
      <w:r w:rsidR="0061776F">
        <w:rPr>
          <w:rFonts w:hint="cs"/>
          <w:rtl/>
          <w:lang w:bidi="fa-IR"/>
        </w:rPr>
        <w:t xml:space="preserve"> </w:t>
      </w:r>
    </w:p>
    <w:p w:rsidR="00A63701" w:rsidRDefault="00A63701" w:rsidP="00A63701">
      <w:pPr>
        <w:bidi/>
        <w:rPr>
          <w:rtl/>
          <w:lang w:bidi="fa-IR"/>
        </w:rPr>
      </w:pPr>
      <w:r>
        <w:rPr>
          <w:rFonts w:hint="cs"/>
          <w:rtl/>
          <w:lang w:bidi="fa-IR"/>
        </w:rPr>
        <w:t>2.منتقی الاصول.</w:t>
      </w:r>
      <w:r>
        <w:rPr>
          <w:rStyle w:val="FootnoteReference"/>
          <w:rtl/>
          <w:lang w:bidi="fa-IR"/>
        </w:rPr>
        <w:footnoteReference w:id="2"/>
      </w:r>
    </w:p>
    <w:p w:rsidR="00D511B8" w:rsidRDefault="00D511B8" w:rsidP="00A63701">
      <w:pPr>
        <w:bidi/>
        <w:rPr>
          <w:rtl/>
          <w:lang w:bidi="fa-IR"/>
        </w:rPr>
      </w:pPr>
      <w:r>
        <w:rPr>
          <w:rFonts w:hint="cs"/>
          <w:rtl/>
          <w:lang w:bidi="fa-IR"/>
        </w:rPr>
        <w:t>فوائد الاصول</w:t>
      </w:r>
      <w:r w:rsidR="00BC27F9">
        <w:rPr>
          <w:rFonts w:hint="cs"/>
          <w:rtl/>
          <w:lang w:bidi="fa-IR"/>
        </w:rPr>
        <w:t>.</w:t>
      </w:r>
    </w:p>
    <w:p w:rsidR="00D511B8" w:rsidRDefault="00D511B8" w:rsidP="00D511B8">
      <w:pPr>
        <w:bidi/>
        <w:rPr>
          <w:rtl/>
          <w:lang w:bidi="fa-IR"/>
        </w:rPr>
      </w:pPr>
      <w:r>
        <w:rPr>
          <w:rFonts w:hint="cs"/>
          <w:rtl/>
          <w:lang w:bidi="fa-IR"/>
        </w:rPr>
        <w:t>نهایة الافکار</w:t>
      </w:r>
      <w:r w:rsidR="00BC27F9">
        <w:rPr>
          <w:rFonts w:hint="cs"/>
          <w:rtl/>
          <w:lang w:bidi="fa-IR"/>
        </w:rPr>
        <w:t>.</w:t>
      </w:r>
      <w:r>
        <w:rPr>
          <w:rStyle w:val="FootnoteReference"/>
          <w:rtl/>
          <w:lang w:bidi="fa-IR"/>
        </w:rPr>
        <w:footnoteReference w:id="3"/>
      </w:r>
    </w:p>
    <w:p w:rsidR="00D34E95" w:rsidRDefault="00DF5A73" w:rsidP="00D511B8">
      <w:pPr>
        <w:bidi/>
        <w:rPr>
          <w:rtl/>
          <w:lang w:bidi="fa-IR"/>
        </w:rPr>
      </w:pPr>
      <w:r>
        <w:rPr>
          <w:rFonts w:hint="cs"/>
          <w:rtl/>
          <w:lang w:bidi="fa-IR"/>
        </w:rPr>
        <w:t>محاضرات</w:t>
      </w:r>
      <w:r w:rsidR="00421048">
        <w:rPr>
          <w:rFonts w:hint="cs"/>
          <w:rtl/>
          <w:lang w:bidi="fa-IR"/>
        </w:rPr>
        <w:t>.</w:t>
      </w:r>
      <w:r>
        <w:rPr>
          <w:rStyle w:val="FootnoteReference"/>
          <w:rtl/>
          <w:lang w:bidi="fa-IR"/>
        </w:rPr>
        <w:footnoteReference w:id="4"/>
      </w:r>
    </w:p>
    <w:p w:rsidR="00D34E95" w:rsidRDefault="00D34E95" w:rsidP="00BC27F9">
      <w:pPr>
        <w:bidi/>
        <w:rPr>
          <w:lang w:bidi="fa-IR"/>
        </w:rPr>
      </w:pPr>
      <w:r>
        <w:rPr>
          <w:rFonts w:hint="cs"/>
          <w:rtl/>
          <w:lang w:bidi="fa-IR"/>
        </w:rPr>
        <w:t xml:space="preserve">مفاتیح </w:t>
      </w:r>
      <w:r w:rsidR="00BC27F9">
        <w:rPr>
          <w:rFonts w:hint="cs"/>
          <w:rtl/>
          <w:lang w:bidi="fa-IR"/>
        </w:rPr>
        <w:t>الأصول</w:t>
      </w:r>
      <w:r w:rsidR="00421048">
        <w:rPr>
          <w:rFonts w:hint="cs"/>
          <w:rtl/>
          <w:lang w:bidi="fa-IR"/>
        </w:rPr>
        <w:t>.</w:t>
      </w:r>
    </w:p>
    <w:p w:rsidR="00D34E95" w:rsidRDefault="00D34E95" w:rsidP="00421048">
      <w:pPr>
        <w:bidi/>
        <w:rPr>
          <w:rtl/>
          <w:lang w:bidi="fa-IR"/>
        </w:rPr>
      </w:pPr>
      <w:r>
        <w:rPr>
          <w:rFonts w:hint="cs"/>
          <w:rtl/>
          <w:lang w:bidi="fa-IR"/>
        </w:rPr>
        <w:t>تهذیب الاصول</w:t>
      </w:r>
      <w:r w:rsidR="00421048">
        <w:rPr>
          <w:rFonts w:hint="cs"/>
          <w:rtl/>
          <w:lang w:bidi="fa-IR"/>
        </w:rPr>
        <w:t>.</w:t>
      </w:r>
      <w:r w:rsidR="00CA4896">
        <w:rPr>
          <w:rStyle w:val="FootnoteReference"/>
          <w:rtl/>
          <w:lang w:bidi="fa-IR"/>
        </w:rPr>
        <w:footnoteReference w:id="5"/>
      </w:r>
    </w:p>
    <w:p w:rsidR="00421048" w:rsidRDefault="00421048" w:rsidP="00421048">
      <w:pPr>
        <w:bidi/>
        <w:rPr>
          <w:rtl/>
          <w:lang w:bidi="fa-IR"/>
        </w:rPr>
      </w:pPr>
      <w:r>
        <w:rPr>
          <w:rFonts w:hint="cs"/>
          <w:rtl/>
          <w:lang w:bidi="fa-IR"/>
        </w:rPr>
        <w:t>نهایة الدرایة ج1.</w:t>
      </w:r>
    </w:p>
    <w:p w:rsidR="00391157" w:rsidRDefault="00391157" w:rsidP="00391157">
      <w:pPr>
        <w:bidi/>
        <w:rPr>
          <w:rtl/>
          <w:lang w:bidi="fa-IR"/>
        </w:rPr>
      </w:pPr>
      <w:r>
        <w:rPr>
          <w:rFonts w:hint="cs"/>
          <w:rtl/>
          <w:lang w:bidi="fa-IR"/>
        </w:rPr>
        <w:t>فتحص</w:t>
      </w:r>
      <w:r w:rsidR="00421048">
        <w:rPr>
          <w:rFonts w:hint="cs"/>
          <w:rtl/>
          <w:lang w:bidi="fa-IR"/>
        </w:rPr>
        <w:t>ّ</w:t>
      </w:r>
      <w:r>
        <w:rPr>
          <w:rFonts w:hint="cs"/>
          <w:rtl/>
          <w:lang w:bidi="fa-IR"/>
        </w:rPr>
        <w:t>ل مم</w:t>
      </w:r>
      <w:r w:rsidR="00421048">
        <w:rPr>
          <w:rFonts w:hint="cs"/>
          <w:rtl/>
          <w:lang w:bidi="fa-IR"/>
        </w:rPr>
        <w:t>ّ</w:t>
      </w:r>
      <w:r>
        <w:rPr>
          <w:rFonts w:hint="cs"/>
          <w:rtl/>
          <w:lang w:bidi="fa-IR"/>
        </w:rPr>
        <w:t>ا ذکرنا هرگاه قیدی مرد</w:t>
      </w:r>
      <w:r w:rsidR="00421048">
        <w:rPr>
          <w:rFonts w:hint="cs"/>
          <w:rtl/>
          <w:lang w:bidi="fa-IR"/>
        </w:rPr>
        <w:t>ّ</w:t>
      </w:r>
      <w:r>
        <w:rPr>
          <w:rFonts w:hint="cs"/>
          <w:rtl/>
          <w:lang w:bidi="fa-IR"/>
        </w:rPr>
        <w:t xml:space="preserve">د در رجوع باشد دو مقام دارد: </w:t>
      </w:r>
      <w:r w:rsidR="00421048">
        <w:rPr>
          <w:rFonts w:hint="cs"/>
          <w:rtl/>
          <w:lang w:bidi="fa-IR"/>
        </w:rPr>
        <w:t xml:space="preserve">مقام </w:t>
      </w:r>
      <w:r>
        <w:rPr>
          <w:rFonts w:hint="cs"/>
          <w:rtl/>
          <w:lang w:bidi="fa-IR"/>
        </w:rPr>
        <w:t>ثبوت و</w:t>
      </w:r>
      <w:r w:rsidR="00421048">
        <w:rPr>
          <w:rFonts w:hint="cs"/>
          <w:rtl/>
          <w:lang w:bidi="fa-IR"/>
        </w:rPr>
        <w:t xml:space="preserve"> مقام</w:t>
      </w:r>
      <w:r>
        <w:rPr>
          <w:rFonts w:hint="cs"/>
          <w:rtl/>
          <w:lang w:bidi="fa-IR"/>
        </w:rPr>
        <w:t xml:space="preserve"> اثبات؛</w:t>
      </w:r>
    </w:p>
    <w:p w:rsidR="00391157" w:rsidRDefault="00237D72" w:rsidP="00391157">
      <w:pPr>
        <w:bidi/>
        <w:rPr>
          <w:rtl/>
          <w:lang w:bidi="fa-IR"/>
        </w:rPr>
      </w:pPr>
      <w:r>
        <w:rPr>
          <w:rFonts w:hint="cs"/>
          <w:rtl/>
          <w:lang w:bidi="fa-IR"/>
        </w:rPr>
        <w:t>اما مقام ثبوت</w:t>
      </w:r>
      <w:r w:rsidR="00391157">
        <w:rPr>
          <w:rFonts w:hint="cs"/>
          <w:rtl/>
          <w:lang w:bidi="fa-IR"/>
        </w:rPr>
        <w:t>، همان سه تقریبی است که شهید صدر فرمود</w:t>
      </w:r>
      <w:r w:rsidR="00421048">
        <w:rPr>
          <w:rFonts w:hint="cs"/>
          <w:rtl/>
          <w:lang w:bidi="fa-IR"/>
        </w:rPr>
        <w:t>.</w:t>
      </w:r>
    </w:p>
    <w:p w:rsidR="00391157" w:rsidRDefault="00391157" w:rsidP="00D66E40">
      <w:pPr>
        <w:bidi/>
        <w:rPr>
          <w:rtl/>
          <w:lang w:bidi="fa-IR"/>
        </w:rPr>
      </w:pPr>
      <w:r>
        <w:rPr>
          <w:rFonts w:hint="cs"/>
          <w:rtl/>
          <w:lang w:bidi="fa-IR"/>
        </w:rPr>
        <w:t xml:space="preserve">اما مقام اثبات: </w:t>
      </w:r>
      <w:r w:rsidR="00D66E40">
        <w:rPr>
          <w:rFonts w:hint="cs"/>
          <w:rtl/>
          <w:lang w:bidi="fa-IR"/>
        </w:rPr>
        <w:t xml:space="preserve">در این مقام </w:t>
      </w:r>
      <w:r>
        <w:rPr>
          <w:rFonts w:hint="cs"/>
          <w:rtl/>
          <w:lang w:bidi="fa-IR"/>
        </w:rPr>
        <w:t>اطلاق</w:t>
      </w:r>
      <w:r w:rsidR="00D66E40">
        <w:rPr>
          <w:rFonts w:hint="cs"/>
          <w:rtl/>
          <w:lang w:bidi="fa-IR"/>
        </w:rPr>
        <w:t xml:space="preserve"> در هیئت و ماد</w:t>
      </w:r>
      <w:r w:rsidR="008340BE">
        <w:rPr>
          <w:rFonts w:hint="cs"/>
          <w:rtl/>
          <w:lang w:bidi="fa-IR"/>
        </w:rPr>
        <w:t>ّ</w:t>
      </w:r>
      <w:r w:rsidR="00D66E40">
        <w:rPr>
          <w:rFonts w:hint="cs"/>
          <w:rtl/>
          <w:lang w:bidi="fa-IR"/>
        </w:rPr>
        <w:t>ه،</w:t>
      </w:r>
      <w:r>
        <w:rPr>
          <w:rFonts w:hint="cs"/>
          <w:rtl/>
          <w:lang w:bidi="fa-IR"/>
        </w:rPr>
        <w:t xml:space="preserve"> توس</w:t>
      </w:r>
      <w:r w:rsidR="00421048">
        <w:rPr>
          <w:rFonts w:hint="cs"/>
          <w:rtl/>
          <w:lang w:bidi="fa-IR"/>
        </w:rPr>
        <w:t>ّ</w:t>
      </w:r>
      <w:r>
        <w:rPr>
          <w:rFonts w:hint="cs"/>
          <w:rtl/>
          <w:lang w:bidi="fa-IR"/>
        </w:rPr>
        <w:t>ط مقد</w:t>
      </w:r>
      <w:r w:rsidR="008340BE">
        <w:rPr>
          <w:rFonts w:hint="cs"/>
          <w:rtl/>
          <w:lang w:bidi="fa-IR"/>
        </w:rPr>
        <w:t>ّ</w:t>
      </w:r>
      <w:r>
        <w:rPr>
          <w:rFonts w:hint="cs"/>
          <w:rtl/>
          <w:lang w:bidi="fa-IR"/>
        </w:rPr>
        <w:t>مات حکمت است و دلیل تقیید نیز مبتنی بر مقد</w:t>
      </w:r>
      <w:r w:rsidR="008340BE">
        <w:rPr>
          <w:rFonts w:hint="cs"/>
          <w:rtl/>
          <w:lang w:bidi="fa-IR"/>
        </w:rPr>
        <w:t>ّ</w:t>
      </w:r>
      <w:r>
        <w:rPr>
          <w:rFonts w:hint="cs"/>
          <w:rtl/>
          <w:lang w:bidi="fa-IR"/>
        </w:rPr>
        <w:t xml:space="preserve">مات حکمت است یعنی اگر بخواهیم تقیید را </w:t>
      </w:r>
      <w:r w:rsidR="00D66E40">
        <w:rPr>
          <w:rFonts w:hint="cs"/>
          <w:rtl/>
          <w:lang w:bidi="fa-IR"/>
        </w:rPr>
        <w:t>دارای دو کیفی</w:t>
      </w:r>
      <w:r w:rsidR="008340BE">
        <w:rPr>
          <w:rFonts w:hint="cs"/>
          <w:rtl/>
          <w:lang w:bidi="fa-IR"/>
        </w:rPr>
        <w:t>ّ</w:t>
      </w:r>
      <w:r w:rsidR="00D66E40">
        <w:rPr>
          <w:rFonts w:hint="cs"/>
          <w:rtl/>
          <w:lang w:bidi="fa-IR"/>
        </w:rPr>
        <w:t>ت معنی کنیم</w:t>
      </w:r>
      <w:r>
        <w:rPr>
          <w:rFonts w:hint="cs"/>
          <w:rtl/>
          <w:lang w:bidi="fa-IR"/>
        </w:rPr>
        <w:t xml:space="preserve"> باید او</w:t>
      </w:r>
      <w:r w:rsidR="008340BE">
        <w:rPr>
          <w:rFonts w:hint="cs"/>
          <w:rtl/>
          <w:lang w:bidi="fa-IR"/>
        </w:rPr>
        <w:t>ّ</w:t>
      </w:r>
      <w:r>
        <w:rPr>
          <w:rFonts w:hint="cs"/>
          <w:rtl/>
          <w:lang w:bidi="fa-IR"/>
        </w:rPr>
        <w:t xml:space="preserve">ل به </w:t>
      </w:r>
      <w:r w:rsidR="00D66E40">
        <w:rPr>
          <w:rFonts w:hint="cs"/>
          <w:rtl/>
          <w:lang w:bidi="fa-IR"/>
        </w:rPr>
        <w:t>اطلاق تقیید رجوع کنیم</w:t>
      </w:r>
      <w:r>
        <w:rPr>
          <w:rFonts w:hint="cs"/>
          <w:rtl/>
          <w:lang w:bidi="fa-IR"/>
        </w:rPr>
        <w:t xml:space="preserve"> زیرا سخن در مقام اثبات است </w:t>
      </w:r>
      <w:r w:rsidR="00D66E40">
        <w:rPr>
          <w:rFonts w:hint="cs"/>
          <w:rtl/>
          <w:lang w:bidi="fa-IR"/>
        </w:rPr>
        <w:t xml:space="preserve">و در مقام اثبات قید مطلق است و اطلاق دلالت دارد بر اینکه </w:t>
      </w:r>
      <w:r>
        <w:rPr>
          <w:rFonts w:hint="cs"/>
          <w:rtl/>
          <w:lang w:bidi="fa-IR"/>
        </w:rPr>
        <w:t>هر</w:t>
      </w:r>
      <w:r w:rsidR="00D66E40">
        <w:rPr>
          <w:rFonts w:hint="cs"/>
          <w:rtl/>
          <w:lang w:bidi="fa-IR"/>
        </w:rPr>
        <w:t xml:space="preserve"> </w:t>
      </w:r>
      <w:r>
        <w:rPr>
          <w:rFonts w:hint="cs"/>
          <w:rtl/>
          <w:lang w:bidi="fa-IR"/>
        </w:rPr>
        <w:t xml:space="preserve">نوع تقییدی که عارض بر هیئت شده </w:t>
      </w:r>
      <w:r w:rsidR="00FA6421">
        <w:rPr>
          <w:rFonts w:hint="cs"/>
          <w:rtl/>
          <w:lang w:bidi="fa-IR"/>
        </w:rPr>
        <w:t>همان</w:t>
      </w:r>
      <w:r>
        <w:rPr>
          <w:rFonts w:hint="cs"/>
          <w:rtl/>
          <w:lang w:bidi="fa-IR"/>
        </w:rPr>
        <w:t xml:space="preserve"> بر ماد</w:t>
      </w:r>
      <w:r w:rsidR="00D66E40">
        <w:rPr>
          <w:rFonts w:hint="cs"/>
          <w:rtl/>
          <w:lang w:bidi="fa-IR"/>
        </w:rPr>
        <w:t>ّ</w:t>
      </w:r>
      <w:r>
        <w:rPr>
          <w:rFonts w:hint="cs"/>
          <w:rtl/>
          <w:lang w:bidi="fa-IR"/>
        </w:rPr>
        <w:t>ه هم عارض شده است.</w:t>
      </w:r>
    </w:p>
    <w:p w:rsidR="00E67A17" w:rsidRDefault="00E67A17" w:rsidP="00E67A17">
      <w:pPr>
        <w:bidi/>
        <w:rPr>
          <w:rtl/>
          <w:lang w:bidi="fa-IR"/>
        </w:rPr>
      </w:pPr>
      <w:r>
        <w:rPr>
          <w:rFonts w:hint="cs"/>
          <w:rtl/>
          <w:lang w:bidi="fa-IR"/>
        </w:rPr>
        <w:t>تأمل دو</w:t>
      </w:r>
      <w:r w:rsidR="008340BE">
        <w:rPr>
          <w:rFonts w:hint="cs"/>
          <w:rtl/>
          <w:lang w:bidi="fa-IR"/>
        </w:rPr>
        <w:t>ّ</w:t>
      </w:r>
      <w:r>
        <w:rPr>
          <w:rFonts w:hint="cs"/>
          <w:rtl/>
          <w:lang w:bidi="fa-IR"/>
        </w:rPr>
        <w:t>م</w:t>
      </w:r>
    </w:p>
    <w:p w:rsidR="0011265A" w:rsidRDefault="0011265A" w:rsidP="006A6AC2">
      <w:pPr>
        <w:bidi/>
        <w:rPr>
          <w:rtl/>
          <w:lang w:bidi="fa-IR"/>
        </w:rPr>
      </w:pPr>
      <w:r>
        <w:rPr>
          <w:rFonts w:hint="cs"/>
          <w:rtl/>
          <w:lang w:bidi="fa-IR"/>
        </w:rPr>
        <w:t>اما قرینه ی</w:t>
      </w:r>
      <w:r w:rsidR="00E67A17">
        <w:rPr>
          <w:rFonts w:hint="cs"/>
          <w:rtl/>
          <w:lang w:bidi="fa-IR"/>
        </w:rPr>
        <w:t xml:space="preserve"> مت</w:t>
      </w:r>
      <w:r w:rsidR="008340BE">
        <w:rPr>
          <w:rFonts w:hint="cs"/>
          <w:rtl/>
          <w:lang w:bidi="fa-IR"/>
        </w:rPr>
        <w:t>ّ</w:t>
      </w:r>
      <w:r w:rsidR="00E67A17">
        <w:rPr>
          <w:rFonts w:hint="cs"/>
          <w:rtl/>
          <w:lang w:bidi="fa-IR"/>
        </w:rPr>
        <w:t xml:space="preserve">صل: </w:t>
      </w:r>
      <w:r w:rsidR="008340BE">
        <w:rPr>
          <w:rFonts w:hint="cs"/>
          <w:rtl/>
          <w:lang w:bidi="fa-IR"/>
        </w:rPr>
        <w:t xml:space="preserve">فرمود قید متصل </w:t>
      </w:r>
      <w:r w:rsidR="00E67A17">
        <w:rPr>
          <w:rFonts w:hint="cs"/>
          <w:rtl/>
          <w:lang w:bidi="fa-IR"/>
        </w:rPr>
        <w:t>در عالم ثبوت دو وجه دارد؛ این صحیح است.</w:t>
      </w:r>
      <w:r w:rsidR="00B50D99">
        <w:rPr>
          <w:rFonts w:hint="cs"/>
          <w:rtl/>
          <w:lang w:bidi="fa-IR"/>
        </w:rPr>
        <w:t xml:space="preserve"> در عالم اثبات </w:t>
      </w:r>
      <w:r w:rsidR="00E67A17">
        <w:rPr>
          <w:rFonts w:hint="cs"/>
          <w:rtl/>
          <w:lang w:bidi="fa-IR"/>
        </w:rPr>
        <w:t>نیز</w:t>
      </w:r>
      <w:r w:rsidR="00B50D99">
        <w:rPr>
          <w:rFonts w:hint="cs"/>
          <w:rtl/>
          <w:lang w:bidi="fa-IR"/>
        </w:rPr>
        <w:t xml:space="preserve"> چون تقیید مت</w:t>
      </w:r>
      <w:r w:rsidR="00E67A17">
        <w:rPr>
          <w:rFonts w:hint="cs"/>
          <w:rtl/>
          <w:lang w:bidi="fa-IR"/>
        </w:rPr>
        <w:t>ّ</w:t>
      </w:r>
      <w:r w:rsidR="00B50D99">
        <w:rPr>
          <w:rFonts w:hint="cs"/>
          <w:rtl/>
          <w:lang w:bidi="fa-IR"/>
        </w:rPr>
        <w:t>صل مانع ظهور می شود، بحث تعیین تقیید</w:t>
      </w:r>
      <w:r w:rsidR="00E67A17">
        <w:rPr>
          <w:rFonts w:hint="cs"/>
          <w:rtl/>
          <w:lang w:bidi="fa-IR"/>
        </w:rPr>
        <w:t>،</w:t>
      </w:r>
      <w:r w:rsidR="00B50D99">
        <w:rPr>
          <w:rFonts w:hint="cs"/>
          <w:rtl/>
          <w:lang w:bidi="fa-IR"/>
        </w:rPr>
        <w:t xml:space="preserve"> بی وجه </w:t>
      </w:r>
      <w:r w:rsidR="004E544F">
        <w:rPr>
          <w:rFonts w:hint="cs"/>
          <w:rtl/>
          <w:lang w:bidi="fa-IR"/>
        </w:rPr>
        <w:t>است لکن</w:t>
      </w:r>
      <w:r w:rsidR="00E67A17">
        <w:rPr>
          <w:rFonts w:hint="cs"/>
          <w:rtl/>
          <w:lang w:bidi="fa-IR"/>
        </w:rPr>
        <w:t xml:space="preserve"> نکته و تأم</w:t>
      </w:r>
      <w:r w:rsidR="008340BE">
        <w:rPr>
          <w:rFonts w:hint="cs"/>
          <w:rtl/>
          <w:lang w:bidi="fa-IR"/>
        </w:rPr>
        <w:t>ّ</w:t>
      </w:r>
      <w:r w:rsidR="00E67A17">
        <w:rPr>
          <w:rFonts w:hint="cs"/>
          <w:rtl/>
          <w:lang w:bidi="fa-IR"/>
        </w:rPr>
        <w:t>ل دو</w:t>
      </w:r>
      <w:r w:rsidR="008340BE">
        <w:rPr>
          <w:rFonts w:hint="cs"/>
          <w:rtl/>
          <w:lang w:bidi="fa-IR"/>
        </w:rPr>
        <w:t>ّ</w:t>
      </w:r>
      <w:r w:rsidR="00E67A17">
        <w:rPr>
          <w:rFonts w:hint="cs"/>
          <w:rtl/>
          <w:lang w:bidi="fa-IR"/>
        </w:rPr>
        <w:t xml:space="preserve">می که بر فرمایش شهید صدر </w:t>
      </w:r>
      <w:r w:rsidR="008340BE">
        <w:rPr>
          <w:rFonts w:hint="cs"/>
          <w:rtl/>
          <w:lang w:bidi="fa-IR"/>
        </w:rPr>
        <w:t>عرض می کنیم</w:t>
      </w:r>
      <w:r w:rsidR="00E67A17">
        <w:rPr>
          <w:rFonts w:hint="cs"/>
          <w:rtl/>
          <w:lang w:bidi="fa-IR"/>
        </w:rPr>
        <w:t xml:space="preserve"> این است که:</w:t>
      </w:r>
      <w:r w:rsidR="004E544F">
        <w:rPr>
          <w:rFonts w:hint="cs"/>
          <w:rtl/>
          <w:lang w:bidi="fa-IR"/>
        </w:rPr>
        <w:t xml:space="preserve"> مثالی که شهید صدر برای </w:t>
      </w:r>
      <w:r w:rsidR="00B50D99">
        <w:rPr>
          <w:rFonts w:hint="cs"/>
          <w:rtl/>
          <w:lang w:bidi="fa-IR"/>
        </w:rPr>
        <w:t>قید منفصل ذکر کرده و در کنار آن مثالی برای مت</w:t>
      </w:r>
      <w:r w:rsidR="00E67A17">
        <w:rPr>
          <w:rFonts w:hint="cs"/>
          <w:rtl/>
          <w:lang w:bidi="fa-IR"/>
        </w:rPr>
        <w:t>ّ</w:t>
      </w:r>
      <w:r w:rsidR="008340BE">
        <w:rPr>
          <w:rFonts w:hint="cs"/>
          <w:rtl/>
          <w:lang w:bidi="fa-IR"/>
        </w:rPr>
        <w:t>صل ذکر کرده</w:t>
      </w:r>
      <w:r w:rsidR="00B50D99">
        <w:rPr>
          <w:rFonts w:hint="cs"/>
          <w:rtl/>
          <w:lang w:bidi="fa-IR"/>
        </w:rPr>
        <w:t xml:space="preserve"> و بحث را </w:t>
      </w:r>
      <w:r w:rsidR="00E67A17">
        <w:rPr>
          <w:rFonts w:hint="cs"/>
          <w:rtl/>
          <w:lang w:bidi="fa-IR"/>
        </w:rPr>
        <w:t>بعنوان بحث تردّد بین رجوع قید به مادّه و هیئت مطرح کرده است</w:t>
      </w:r>
      <w:r w:rsidR="008340BE">
        <w:rPr>
          <w:rFonts w:hint="cs"/>
          <w:rtl/>
          <w:lang w:bidi="fa-IR"/>
        </w:rPr>
        <w:t>،</w:t>
      </w:r>
      <w:r w:rsidR="00B50D99">
        <w:rPr>
          <w:rFonts w:hint="cs"/>
          <w:rtl/>
          <w:lang w:bidi="fa-IR"/>
        </w:rPr>
        <w:t xml:space="preserve"> این دو مثال محل</w:t>
      </w:r>
      <w:r w:rsidR="00E67A17">
        <w:rPr>
          <w:rFonts w:hint="cs"/>
          <w:rtl/>
          <w:lang w:bidi="fa-IR"/>
        </w:rPr>
        <w:t>ّ</w:t>
      </w:r>
      <w:r w:rsidR="00B50D99">
        <w:rPr>
          <w:rFonts w:hint="cs"/>
          <w:rtl/>
          <w:lang w:bidi="fa-IR"/>
        </w:rPr>
        <w:t xml:space="preserve"> تأمل</w:t>
      </w:r>
      <w:r w:rsidR="00E67A17">
        <w:rPr>
          <w:rFonts w:hint="cs"/>
          <w:rtl/>
          <w:lang w:bidi="fa-IR"/>
        </w:rPr>
        <w:t>ّ</w:t>
      </w:r>
      <w:r w:rsidR="00B50D99">
        <w:rPr>
          <w:rFonts w:hint="cs"/>
          <w:rtl/>
          <w:lang w:bidi="fa-IR"/>
        </w:rPr>
        <w:t xml:space="preserve"> اند زیرا مثال </w:t>
      </w:r>
      <w:r w:rsidR="00E67A17">
        <w:rPr>
          <w:rFonts w:hint="cs"/>
          <w:rtl/>
          <w:lang w:bidi="fa-IR"/>
        </w:rPr>
        <w:t>«</w:t>
      </w:r>
      <w:r w:rsidR="00B50D99">
        <w:rPr>
          <w:rFonts w:hint="cs"/>
          <w:rtl/>
          <w:lang w:bidi="fa-IR"/>
        </w:rPr>
        <w:t>تصد</w:t>
      </w:r>
      <w:r w:rsidR="00E67A17">
        <w:rPr>
          <w:rFonts w:hint="cs"/>
          <w:rtl/>
          <w:lang w:bidi="fa-IR"/>
        </w:rPr>
        <w:t>ّ</w:t>
      </w:r>
      <w:r w:rsidR="00B50D99">
        <w:rPr>
          <w:rFonts w:hint="cs"/>
          <w:rtl/>
          <w:lang w:bidi="fa-IR"/>
        </w:rPr>
        <w:t>ق و لاتجزی الصدقه</w:t>
      </w:r>
      <w:r w:rsidR="008340BE">
        <w:rPr>
          <w:rFonts w:hint="cs"/>
          <w:rtl/>
          <w:lang w:bidi="fa-IR"/>
        </w:rPr>
        <w:t xml:space="preserve"> قبل القی</w:t>
      </w:r>
      <w:r w:rsidR="00E67A17">
        <w:rPr>
          <w:rFonts w:hint="cs"/>
          <w:rtl/>
          <w:lang w:bidi="fa-IR"/>
        </w:rPr>
        <w:t xml:space="preserve">ام» بوضوح </w:t>
      </w:r>
      <w:r w:rsidR="00B50D99">
        <w:rPr>
          <w:rFonts w:hint="cs"/>
          <w:rtl/>
          <w:lang w:bidi="fa-IR"/>
        </w:rPr>
        <w:t>دلالت دارد بر اینکه قید، قید ماد</w:t>
      </w:r>
      <w:r w:rsidR="008340BE">
        <w:rPr>
          <w:rFonts w:hint="cs"/>
          <w:rtl/>
          <w:lang w:bidi="fa-IR"/>
        </w:rPr>
        <w:t>ّ</w:t>
      </w:r>
      <w:r w:rsidR="00B50D99">
        <w:rPr>
          <w:rFonts w:hint="cs"/>
          <w:rtl/>
          <w:lang w:bidi="fa-IR"/>
        </w:rPr>
        <w:t>ه است</w:t>
      </w:r>
      <w:r w:rsidR="00E67A17">
        <w:rPr>
          <w:rFonts w:hint="cs"/>
          <w:rtl/>
          <w:lang w:bidi="fa-IR"/>
        </w:rPr>
        <w:t xml:space="preserve"> نه قید هیئت</w:t>
      </w:r>
      <w:r w:rsidR="008340BE">
        <w:rPr>
          <w:rFonts w:hint="cs"/>
          <w:rtl/>
          <w:lang w:bidi="fa-IR"/>
        </w:rPr>
        <w:t>؛</w:t>
      </w:r>
      <w:r w:rsidR="00E67A17">
        <w:rPr>
          <w:rFonts w:hint="cs"/>
          <w:rtl/>
          <w:lang w:bidi="fa-IR"/>
        </w:rPr>
        <w:t xml:space="preserve"> </w:t>
      </w:r>
      <w:r w:rsidR="00B50D99">
        <w:rPr>
          <w:rFonts w:hint="cs"/>
          <w:rtl/>
          <w:lang w:bidi="fa-IR"/>
        </w:rPr>
        <w:t xml:space="preserve">و مثال </w:t>
      </w:r>
      <w:r w:rsidR="00E67A17">
        <w:rPr>
          <w:rFonts w:hint="cs"/>
          <w:rtl/>
          <w:lang w:bidi="fa-IR"/>
        </w:rPr>
        <w:t>«</w:t>
      </w:r>
      <w:r w:rsidR="00B50D99">
        <w:rPr>
          <w:rFonts w:hint="cs"/>
          <w:rtl/>
          <w:lang w:bidi="fa-IR"/>
        </w:rPr>
        <w:t>تصد</w:t>
      </w:r>
      <w:r w:rsidR="008340BE">
        <w:rPr>
          <w:rFonts w:hint="cs"/>
          <w:rtl/>
          <w:lang w:bidi="fa-IR"/>
        </w:rPr>
        <w:t>ّ</w:t>
      </w:r>
      <w:r w:rsidR="00B50D99">
        <w:rPr>
          <w:rFonts w:hint="cs"/>
          <w:rtl/>
          <w:lang w:bidi="fa-IR"/>
        </w:rPr>
        <w:t>ق قائما</w:t>
      </w:r>
      <w:r w:rsidR="00E67A17">
        <w:rPr>
          <w:rFonts w:hint="cs"/>
          <w:rtl/>
          <w:lang w:bidi="fa-IR"/>
        </w:rPr>
        <w:t>»</w:t>
      </w:r>
      <w:r w:rsidR="00B50D99">
        <w:rPr>
          <w:rFonts w:hint="cs"/>
          <w:rtl/>
          <w:lang w:bidi="fa-IR"/>
        </w:rPr>
        <w:t xml:space="preserve"> زمینه ی شبهه دارد لکن اطلاق </w:t>
      </w:r>
      <w:r w:rsidR="00E67A17">
        <w:rPr>
          <w:rFonts w:hint="cs"/>
          <w:rtl/>
          <w:lang w:bidi="fa-IR"/>
        </w:rPr>
        <w:t>«</w:t>
      </w:r>
      <w:r w:rsidR="00B50D99">
        <w:rPr>
          <w:rFonts w:hint="cs"/>
          <w:rtl/>
          <w:lang w:bidi="fa-IR"/>
        </w:rPr>
        <w:t>تصد</w:t>
      </w:r>
      <w:r w:rsidR="008340BE">
        <w:rPr>
          <w:rFonts w:hint="cs"/>
          <w:rtl/>
          <w:lang w:bidi="fa-IR"/>
        </w:rPr>
        <w:t>ّ</w:t>
      </w:r>
      <w:r w:rsidR="00B50D99">
        <w:rPr>
          <w:rFonts w:hint="cs"/>
          <w:rtl/>
          <w:lang w:bidi="fa-IR"/>
        </w:rPr>
        <w:t>ق</w:t>
      </w:r>
      <w:r w:rsidR="00E67A17">
        <w:rPr>
          <w:rFonts w:hint="cs"/>
          <w:rtl/>
          <w:lang w:bidi="fa-IR"/>
        </w:rPr>
        <w:t>»</w:t>
      </w:r>
      <w:r w:rsidR="00B50D99">
        <w:rPr>
          <w:rFonts w:hint="cs"/>
          <w:rtl/>
          <w:lang w:bidi="fa-IR"/>
        </w:rPr>
        <w:t xml:space="preserve"> توس</w:t>
      </w:r>
      <w:r w:rsidR="008340BE">
        <w:rPr>
          <w:rFonts w:hint="cs"/>
          <w:rtl/>
          <w:lang w:bidi="fa-IR"/>
        </w:rPr>
        <w:t>ّ</w:t>
      </w:r>
      <w:r w:rsidR="00B50D99">
        <w:rPr>
          <w:rFonts w:hint="cs"/>
          <w:rtl/>
          <w:lang w:bidi="fa-IR"/>
        </w:rPr>
        <w:t xml:space="preserve">ط </w:t>
      </w:r>
      <w:r w:rsidR="00E67A17">
        <w:rPr>
          <w:rFonts w:hint="cs"/>
          <w:rtl/>
          <w:lang w:bidi="fa-IR"/>
        </w:rPr>
        <w:t>«</w:t>
      </w:r>
      <w:r w:rsidR="00B50D99">
        <w:rPr>
          <w:rFonts w:hint="cs"/>
          <w:rtl/>
          <w:lang w:bidi="fa-IR"/>
        </w:rPr>
        <w:t>قائما</w:t>
      </w:r>
      <w:r w:rsidR="008340BE">
        <w:rPr>
          <w:rFonts w:hint="cs"/>
          <w:rtl/>
          <w:lang w:bidi="fa-IR"/>
        </w:rPr>
        <w:t>ً</w:t>
      </w:r>
      <w:r w:rsidR="00E67A17">
        <w:rPr>
          <w:rFonts w:hint="cs"/>
          <w:rtl/>
          <w:lang w:bidi="fa-IR"/>
        </w:rPr>
        <w:t xml:space="preserve">» از اول منعدم است؛ إنما الکلام در </w:t>
      </w:r>
      <w:r w:rsidR="00B50D99">
        <w:rPr>
          <w:rFonts w:hint="cs"/>
          <w:rtl/>
          <w:lang w:bidi="fa-IR"/>
        </w:rPr>
        <w:t>مثال دو</w:t>
      </w:r>
      <w:r w:rsidR="00E67A17">
        <w:rPr>
          <w:rFonts w:hint="cs"/>
          <w:rtl/>
          <w:lang w:bidi="fa-IR"/>
        </w:rPr>
        <w:t>ّم است(</w:t>
      </w:r>
      <w:r w:rsidR="003A3510">
        <w:rPr>
          <w:rFonts w:hint="cs"/>
          <w:rtl/>
          <w:lang w:bidi="fa-IR"/>
        </w:rPr>
        <w:t>تصدّق و لاتجزی الصدقه قبل ال</w:t>
      </w:r>
      <w:r w:rsidR="008518C0">
        <w:rPr>
          <w:rFonts w:hint="cs"/>
          <w:rtl/>
          <w:lang w:bidi="fa-IR"/>
        </w:rPr>
        <w:t>ق</w:t>
      </w:r>
      <w:r w:rsidR="003A3510">
        <w:rPr>
          <w:rFonts w:hint="cs"/>
          <w:rtl/>
          <w:lang w:bidi="fa-IR"/>
        </w:rPr>
        <w:t>یام» این مثال</w:t>
      </w:r>
      <w:r w:rsidR="00E67A17">
        <w:rPr>
          <w:rFonts w:hint="cs"/>
          <w:rtl/>
          <w:lang w:bidi="fa-IR"/>
        </w:rPr>
        <w:t xml:space="preserve"> </w:t>
      </w:r>
      <w:r w:rsidR="00B50D99">
        <w:rPr>
          <w:rFonts w:hint="cs"/>
          <w:rtl/>
          <w:lang w:bidi="fa-IR"/>
        </w:rPr>
        <w:t>برای بیان ترد</w:t>
      </w:r>
      <w:r w:rsidR="003A3510">
        <w:rPr>
          <w:rFonts w:hint="cs"/>
          <w:rtl/>
          <w:lang w:bidi="fa-IR"/>
        </w:rPr>
        <w:t>ّ</w:t>
      </w:r>
      <w:r w:rsidR="00B50D99">
        <w:rPr>
          <w:rFonts w:hint="cs"/>
          <w:rtl/>
          <w:lang w:bidi="fa-IR"/>
        </w:rPr>
        <w:t>د قید مناسب نی</w:t>
      </w:r>
      <w:r w:rsidR="003A3510">
        <w:rPr>
          <w:rFonts w:hint="cs"/>
          <w:rtl/>
          <w:lang w:bidi="fa-IR"/>
        </w:rPr>
        <w:t>س</w:t>
      </w:r>
      <w:r w:rsidR="00B50D99">
        <w:rPr>
          <w:rFonts w:hint="cs"/>
          <w:rtl/>
          <w:lang w:bidi="fa-IR"/>
        </w:rPr>
        <w:t>ت زیرا بحث إجزاء و عدم إجزاء از شؤون واجب است نه وجوب؛ و در این مثال</w:t>
      </w:r>
      <w:r w:rsidR="006A6AC2">
        <w:rPr>
          <w:rFonts w:hint="cs"/>
          <w:rtl/>
          <w:lang w:bidi="fa-IR"/>
        </w:rPr>
        <w:t xml:space="preserve"> بدون هیچ مؤونه ای</w:t>
      </w:r>
      <w:r w:rsidR="00B50D99">
        <w:rPr>
          <w:rFonts w:hint="cs"/>
          <w:rtl/>
          <w:lang w:bidi="fa-IR"/>
        </w:rPr>
        <w:t xml:space="preserve"> قید، قید واجب است نه وجوب</w:t>
      </w:r>
      <w:r w:rsidR="008340BE">
        <w:rPr>
          <w:rFonts w:hint="cs"/>
          <w:rtl/>
          <w:lang w:bidi="fa-IR"/>
        </w:rPr>
        <w:t>؛</w:t>
      </w:r>
      <w:r w:rsidR="003A3510">
        <w:rPr>
          <w:rFonts w:hint="cs"/>
          <w:rtl/>
          <w:lang w:bidi="fa-IR"/>
        </w:rPr>
        <w:t xml:space="preserve"> آری</w:t>
      </w:r>
      <w:r w:rsidR="008340BE">
        <w:rPr>
          <w:rFonts w:hint="cs"/>
          <w:rtl/>
          <w:lang w:bidi="fa-IR"/>
        </w:rPr>
        <w:t>!</w:t>
      </w:r>
      <w:r w:rsidR="003A3510">
        <w:rPr>
          <w:rFonts w:hint="cs"/>
          <w:rtl/>
          <w:lang w:bidi="fa-IR"/>
        </w:rPr>
        <w:t xml:space="preserve"> آنچه در مقام ثبوت فرمود</w:t>
      </w:r>
      <w:r w:rsidR="008340BE">
        <w:rPr>
          <w:rFonts w:hint="cs"/>
          <w:rtl/>
          <w:lang w:bidi="fa-IR"/>
        </w:rPr>
        <w:t>،</w:t>
      </w:r>
      <w:r w:rsidR="003A3510">
        <w:rPr>
          <w:rFonts w:hint="cs"/>
          <w:rtl/>
          <w:lang w:bidi="fa-IR"/>
        </w:rPr>
        <w:t xml:space="preserve"> صحیح است لکن مثال اثباتی ایشان تعی</w:t>
      </w:r>
      <w:r w:rsidR="008340BE">
        <w:rPr>
          <w:rFonts w:hint="cs"/>
          <w:rtl/>
          <w:lang w:bidi="fa-IR"/>
        </w:rPr>
        <w:t>ّ</w:t>
      </w:r>
      <w:r w:rsidR="003A3510">
        <w:rPr>
          <w:rFonts w:hint="cs"/>
          <w:rtl/>
          <w:lang w:bidi="fa-IR"/>
        </w:rPr>
        <w:t>ن</w:t>
      </w:r>
      <w:r w:rsidR="00A0778F">
        <w:rPr>
          <w:rFonts w:hint="cs"/>
          <w:rtl/>
          <w:lang w:bidi="fa-IR"/>
        </w:rPr>
        <w:t xml:space="preserve"> در </w:t>
      </w:r>
      <w:r w:rsidR="006A6AC2">
        <w:rPr>
          <w:rFonts w:hint="cs"/>
          <w:rtl/>
          <w:lang w:bidi="fa-IR"/>
        </w:rPr>
        <w:t>تعیین قید</w:t>
      </w:r>
      <w:bookmarkStart w:id="0" w:name="_GoBack"/>
      <w:bookmarkEnd w:id="0"/>
      <w:r w:rsidR="00A0778F">
        <w:rPr>
          <w:rFonts w:hint="cs"/>
          <w:rtl/>
          <w:lang w:bidi="fa-IR"/>
        </w:rPr>
        <w:t xml:space="preserve"> دارد که قید ماد</w:t>
      </w:r>
      <w:r w:rsidR="003A3510">
        <w:rPr>
          <w:rFonts w:hint="cs"/>
          <w:rtl/>
          <w:lang w:bidi="fa-IR"/>
        </w:rPr>
        <w:t>ّ</w:t>
      </w:r>
      <w:r w:rsidR="00A0778F">
        <w:rPr>
          <w:rFonts w:hint="cs"/>
          <w:rtl/>
          <w:lang w:bidi="fa-IR"/>
        </w:rPr>
        <w:t xml:space="preserve">ه </w:t>
      </w:r>
      <w:r w:rsidR="00180CC9">
        <w:rPr>
          <w:rFonts w:hint="cs"/>
          <w:rtl/>
          <w:lang w:bidi="fa-IR"/>
        </w:rPr>
        <w:t>است</w:t>
      </w:r>
      <w:r w:rsidR="008340BE">
        <w:rPr>
          <w:rFonts w:hint="cs"/>
          <w:rtl/>
          <w:lang w:bidi="fa-IR"/>
        </w:rPr>
        <w:t>؛</w:t>
      </w:r>
      <w:r w:rsidR="00180CC9">
        <w:rPr>
          <w:rFonts w:hint="cs"/>
          <w:rtl/>
          <w:lang w:bidi="fa-IR"/>
        </w:rPr>
        <w:t xml:space="preserve"> و مثال صحیح</w:t>
      </w:r>
      <w:r w:rsidR="008340BE">
        <w:rPr>
          <w:rFonts w:hint="cs"/>
          <w:rtl/>
          <w:lang w:bidi="fa-IR"/>
        </w:rPr>
        <w:t xml:space="preserve"> برای این مورد</w:t>
      </w:r>
      <w:r w:rsidR="00180CC9">
        <w:rPr>
          <w:rFonts w:hint="cs"/>
          <w:rtl/>
          <w:lang w:bidi="fa-IR"/>
        </w:rPr>
        <w:t xml:space="preserve"> این است: </w:t>
      </w:r>
      <w:r w:rsidR="003A3510">
        <w:rPr>
          <w:rFonts w:hint="cs"/>
          <w:rtl/>
          <w:lang w:bidi="fa-IR"/>
        </w:rPr>
        <w:t>«</w:t>
      </w:r>
      <w:r w:rsidR="00180CC9">
        <w:rPr>
          <w:rFonts w:hint="cs"/>
          <w:rtl/>
          <w:lang w:bidi="fa-IR"/>
        </w:rPr>
        <w:t>تصد</w:t>
      </w:r>
      <w:r w:rsidR="003A3510">
        <w:rPr>
          <w:rFonts w:hint="cs"/>
          <w:rtl/>
          <w:lang w:bidi="fa-IR"/>
        </w:rPr>
        <w:t>ّ</w:t>
      </w:r>
      <w:r w:rsidR="00180CC9">
        <w:rPr>
          <w:rFonts w:hint="cs"/>
          <w:rtl/>
          <w:lang w:bidi="fa-IR"/>
        </w:rPr>
        <w:t>ق و</w:t>
      </w:r>
      <w:r w:rsidR="003A3510">
        <w:rPr>
          <w:rFonts w:hint="cs"/>
          <w:rtl/>
          <w:lang w:bidi="fa-IR"/>
        </w:rPr>
        <w:t xml:space="preserve"> علیک القیام».</w:t>
      </w:r>
      <w:r w:rsidR="00B03FF4">
        <w:rPr>
          <w:rFonts w:hint="cs"/>
          <w:rtl/>
          <w:lang w:bidi="fa-IR"/>
        </w:rPr>
        <w:t xml:space="preserve"> در این مثال می توان گفت که </w:t>
      </w:r>
      <w:r w:rsidR="00A22A96">
        <w:rPr>
          <w:rFonts w:hint="cs"/>
          <w:rtl/>
          <w:lang w:bidi="fa-IR"/>
        </w:rPr>
        <w:t>«</w:t>
      </w:r>
      <w:r w:rsidR="00B03FF4">
        <w:rPr>
          <w:rFonts w:hint="cs"/>
          <w:rtl/>
          <w:lang w:bidi="fa-IR"/>
        </w:rPr>
        <w:t>علیک القیام</w:t>
      </w:r>
      <w:r w:rsidR="00A22A96">
        <w:rPr>
          <w:rFonts w:hint="cs"/>
          <w:rtl/>
          <w:lang w:bidi="fa-IR"/>
        </w:rPr>
        <w:t>»</w:t>
      </w:r>
      <w:r w:rsidR="00B03FF4">
        <w:rPr>
          <w:rFonts w:hint="cs"/>
          <w:rtl/>
          <w:lang w:bidi="fa-IR"/>
        </w:rPr>
        <w:t xml:space="preserve"> مرد</w:t>
      </w:r>
      <w:r w:rsidR="00A22A96">
        <w:rPr>
          <w:rFonts w:hint="cs"/>
          <w:rtl/>
          <w:lang w:bidi="fa-IR"/>
        </w:rPr>
        <w:t>ّ</w:t>
      </w:r>
      <w:r w:rsidR="00B03FF4">
        <w:rPr>
          <w:rFonts w:hint="cs"/>
          <w:rtl/>
          <w:lang w:bidi="fa-IR"/>
        </w:rPr>
        <w:t>د است بین رجوع به قید و رجوع به ماد</w:t>
      </w:r>
      <w:r w:rsidR="00A22A96">
        <w:rPr>
          <w:rFonts w:hint="cs"/>
          <w:rtl/>
          <w:lang w:bidi="fa-IR"/>
        </w:rPr>
        <w:t>ّ</w:t>
      </w:r>
      <w:r w:rsidR="00B03FF4">
        <w:rPr>
          <w:rFonts w:hint="cs"/>
          <w:rtl/>
          <w:lang w:bidi="fa-IR"/>
        </w:rPr>
        <w:t>ه.</w:t>
      </w:r>
    </w:p>
    <w:p w:rsidR="00BA7122" w:rsidRPr="002B25B5" w:rsidRDefault="00BA7122" w:rsidP="00BA7122">
      <w:pPr>
        <w:bidi/>
        <w:rPr>
          <w:color w:val="FF0000"/>
          <w:rtl/>
          <w:lang w:bidi="fa-IR"/>
        </w:rPr>
      </w:pPr>
      <w:r w:rsidRPr="002B25B5">
        <w:rPr>
          <w:rFonts w:hint="cs"/>
          <w:color w:val="FF0000"/>
          <w:rtl/>
          <w:lang w:bidi="fa-IR"/>
        </w:rPr>
        <w:t>(پایان)</w:t>
      </w:r>
    </w:p>
    <w:sectPr w:rsidR="00BA7122" w:rsidRPr="002B25B5" w:rsidSect="00810D02">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541" w:rsidRDefault="008C2541" w:rsidP="0049738A">
      <w:r>
        <w:separator/>
      </w:r>
    </w:p>
  </w:endnote>
  <w:endnote w:type="continuationSeparator" w:id="0">
    <w:p w:rsidR="008C2541" w:rsidRDefault="008C2541" w:rsidP="00497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541" w:rsidRDefault="008C2541" w:rsidP="0049738A">
      <w:r>
        <w:separator/>
      </w:r>
    </w:p>
  </w:footnote>
  <w:footnote w:type="continuationSeparator" w:id="0">
    <w:p w:rsidR="008C2541" w:rsidRDefault="008C2541" w:rsidP="0049738A">
      <w:r>
        <w:continuationSeparator/>
      </w:r>
    </w:p>
  </w:footnote>
  <w:footnote w:id="1">
    <w:p w:rsidR="0049738A" w:rsidRPr="00421048" w:rsidRDefault="0049738A" w:rsidP="00E02065">
      <w:pPr>
        <w:pStyle w:val="FootnoteText"/>
        <w:bidi/>
        <w:rPr>
          <w:sz w:val="24"/>
          <w:szCs w:val="24"/>
          <w:rtl/>
          <w:lang w:bidi="fa-IR"/>
        </w:rPr>
      </w:pPr>
      <w:r w:rsidRPr="00421048">
        <w:rPr>
          <w:rStyle w:val="FootnoteReference"/>
          <w:sz w:val="24"/>
          <w:szCs w:val="24"/>
        </w:rPr>
        <w:footnoteRef/>
      </w:r>
      <w:r w:rsidRPr="00421048">
        <w:rPr>
          <w:sz w:val="24"/>
          <w:szCs w:val="24"/>
        </w:rPr>
        <w:t xml:space="preserve"> </w:t>
      </w:r>
      <w:r w:rsidRPr="00421048">
        <w:rPr>
          <w:sz w:val="24"/>
          <w:szCs w:val="24"/>
          <w:rtl/>
          <w:lang w:bidi="fa-IR"/>
        </w:rPr>
        <w:t>. فالبحث في مقامين</w:t>
      </w:r>
      <w:r w:rsidRPr="00421048">
        <w:rPr>
          <w:sz w:val="24"/>
          <w:szCs w:val="24"/>
          <w:lang w:bidi="fa-IR"/>
        </w:rPr>
        <w:t>.</w:t>
      </w:r>
      <w:r w:rsidR="00137A39" w:rsidRPr="00421048">
        <w:rPr>
          <w:sz w:val="24"/>
          <w:szCs w:val="24"/>
          <w:rtl/>
          <w:lang w:bidi="fa-IR"/>
        </w:rPr>
        <w:t xml:space="preserve"> </w:t>
      </w:r>
      <w:r w:rsidRPr="00421048">
        <w:rPr>
          <w:sz w:val="24"/>
          <w:szCs w:val="24"/>
          <w:rtl/>
          <w:lang w:bidi="fa-IR"/>
        </w:rPr>
        <w:t>المقام الأول‏</w:t>
      </w:r>
      <w:r w:rsidR="00137A39" w:rsidRPr="00421048">
        <w:rPr>
          <w:sz w:val="24"/>
          <w:szCs w:val="24"/>
          <w:rtl/>
          <w:lang w:bidi="fa-IR"/>
        </w:rPr>
        <w:t xml:space="preserve"> </w:t>
      </w:r>
      <w:r w:rsidRPr="00421048">
        <w:rPr>
          <w:sz w:val="24"/>
          <w:szCs w:val="24"/>
          <w:rtl/>
          <w:lang w:bidi="fa-IR"/>
        </w:rPr>
        <w:t>إذا كان دليل التقييد منفصلا عن دليل الأمر و شك في رجوعه إلى مدلول هيئة الأمر أو مادته. و هنا مقتضى القاعدة الأولية التعارض بين إطلاق المادة و إطلاق الهيئة و التساقط ثم الرجوع إلى الأصول العملية، إلّا انه قد ذكرت عنايات لترجيح إطلاق الهيئة و حفظه عن السقوط، أهمها ثلاثة تقريبات</w:t>
      </w:r>
      <w:r w:rsidRPr="00421048">
        <w:rPr>
          <w:sz w:val="24"/>
          <w:szCs w:val="24"/>
          <w:lang w:bidi="fa-IR"/>
        </w:rPr>
        <w:t>.</w:t>
      </w:r>
      <w:r w:rsidR="00137A39" w:rsidRPr="00421048">
        <w:rPr>
          <w:sz w:val="24"/>
          <w:szCs w:val="24"/>
          <w:rtl/>
          <w:lang w:bidi="fa-IR"/>
        </w:rPr>
        <w:t xml:space="preserve"> </w:t>
      </w:r>
      <w:r w:rsidRPr="00421048">
        <w:rPr>
          <w:sz w:val="24"/>
          <w:szCs w:val="24"/>
          <w:rtl/>
          <w:lang w:bidi="fa-IR"/>
        </w:rPr>
        <w:t>التقريب الأول- تقديم إطلاق الهيئة لكونه شموليا يقتضي توسيع الوجوب لحالة فقدان القيد بخلاف إطلاق المادة الّذي مدلوله صرف الوجود فيكون بدليا، و الإطلاق الشمولي أقوى من البدلي</w:t>
      </w:r>
      <w:r w:rsidRPr="00421048">
        <w:rPr>
          <w:sz w:val="24"/>
          <w:szCs w:val="24"/>
          <w:lang w:bidi="fa-IR"/>
        </w:rPr>
        <w:t>.</w:t>
      </w:r>
      <w:r w:rsidR="00137A39" w:rsidRPr="00421048">
        <w:rPr>
          <w:sz w:val="24"/>
          <w:szCs w:val="24"/>
          <w:rtl/>
          <w:lang w:bidi="fa-IR"/>
        </w:rPr>
        <w:t xml:space="preserve"> </w:t>
      </w:r>
      <w:r w:rsidRPr="00421048">
        <w:rPr>
          <w:sz w:val="24"/>
          <w:szCs w:val="24"/>
          <w:rtl/>
          <w:lang w:bidi="fa-IR"/>
        </w:rPr>
        <w:t>و اعترض عليه المحقق الخراسانيّ (قده) بأنه لا موجب للأقوائية فان كليهما بمقدمات الحكمة. و هذا الاعتراض متجه على هذا التقريب، و قد بسطنا بعض الكلام‏</w:t>
      </w:r>
      <w:r w:rsidR="00137A39" w:rsidRPr="00421048">
        <w:rPr>
          <w:sz w:val="24"/>
          <w:szCs w:val="24"/>
          <w:rtl/>
          <w:lang w:bidi="fa-IR"/>
        </w:rPr>
        <w:t xml:space="preserve"> </w:t>
      </w:r>
      <w:r w:rsidRPr="00421048">
        <w:rPr>
          <w:sz w:val="24"/>
          <w:szCs w:val="24"/>
          <w:rtl/>
          <w:lang w:bidi="fa-IR"/>
        </w:rPr>
        <w:t>فيه في بحث المرة و التكرار و قلنا ان البدلية و الشمولية ليستا مدلولين للإطلاق و مقدمات الحكمة، و المعارضة ليست بين البدلية و الشمولية المفادين بدليل عقلي بل بين الإطلاقين اللذين في كل منهما بمعنى واحد</w:t>
      </w:r>
      <w:r w:rsidRPr="00421048">
        <w:rPr>
          <w:sz w:val="24"/>
          <w:szCs w:val="24"/>
          <w:lang w:bidi="fa-IR"/>
        </w:rPr>
        <w:t>.</w:t>
      </w:r>
      <w:r w:rsidR="00137A39" w:rsidRPr="00421048">
        <w:rPr>
          <w:sz w:val="24"/>
          <w:szCs w:val="24"/>
          <w:rtl/>
          <w:lang w:bidi="fa-IR"/>
        </w:rPr>
        <w:t xml:space="preserve"> </w:t>
      </w:r>
      <w:r w:rsidRPr="00421048">
        <w:rPr>
          <w:sz w:val="24"/>
          <w:szCs w:val="24"/>
          <w:rtl/>
          <w:lang w:bidi="fa-IR"/>
        </w:rPr>
        <w:t>التقريب الثاني- دوران الأمر بين مخالفة واحدة أو مخالفتين، لأن تقييد الهيئة يستلزم تقييد المادة إذ لا معنى لإطلاق المادة صدق الواجب من دون الوجوب دون العكس، و بما ان التقييد مخالفة و ضرورة فالعرف في موارد الدوران يرتكب مخالفة واحدة لا مخالفتين</w:t>
      </w:r>
      <w:r w:rsidRPr="00421048">
        <w:rPr>
          <w:sz w:val="24"/>
          <w:szCs w:val="24"/>
          <w:lang w:bidi="fa-IR"/>
        </w:rPr>
        <w:t>.</w:t>
      </w:r>
      <w:r w:rsidR="00137A39" w:rsidRPr="00421048">
        <w:rPr>
          <w:sz w:val="24"/>
          <w:szCs w:val="24"/>
          <w:rtl/>
          <w:lang w:bidi="fa-IR"/>
        </w:rPr>
        <w:t xml:space="preserve"> </w:t>
      </w:r>
      <w:r w:rsidRPr="00421048">
        <w:rPr>
          <w:sz w:val="24"/>
          <w:szCs w:val="24"/>
          <w:rtl/>
          <w:lang w:bidi="fa-IR"/>
        </w:rPr>
        <w:t>و يرد عليه: مضافا إلى بطلان الكبرى، ان تقييد المادة بعد تقييد الهيئة ليس مخالفة، لأنه تقيد و ليس بتقييد بحسب الحقيقة، إذ مادة كل امر مقيدة لبا بكل قيود الوجوب فإذا قيد الوجوب في مورد فقد تحقق صغرى ذلك المقيد اللبي الكلي و ليس تقييدا جديدا في المادة</w:t>
      </w:r>
      <w:r w:rsidRPr="00421048">
        <w:rPr>
          <w:sz w:val="24"/>
          <w:szCs w:val="24"/>
          <w:lang w:bidi="fa-IR"/>
        </w:rPr>
        <w:t>.</w:t>
      </w:r>
      <w:r w:rsidR="00137A39" w:rsidRPr="00421048">
        <w:rPr>
          <w:sz w:val="24"/>
          <w:szCs w:val="24"/>
          <w:rtl/>
          <w:lang w:bidi="fa-IR"/>
        </w:rPr>
        <w:t xml:space="preserve"> </w:t>
      </w:r>
      <w:r w:rsidRPr="00421048">
        <w:rPr>
          <w:sz w:val="24"/>
          <w:szCs w:val="24"/>
          <w:rtl/>
          <w:lang w:bidi="fa-IR"/>
        </w:rPr>
        <w:t>التقريب الثالث- ان التعارض بين الإطلاقين فرع العلم الإجمالي برجوع القيد إلى أحدهما، مع ان هذا العلم الإجمالي منحل إلى العلم التفصيليّ بتقييد المادة و عدم شمولها للحصة الفاقدة- أي الصدقة قبل القيام مثلا- على كل تقدير إمّا تخصيصا أو تخصصا، أي اما لعدم الوجوب أو لعدم كونه الواجب، مع الشك في تقييد الهيئة، فيتمسك فيها بالإطلاق بلا معارض</w:t>
      </w:r>
      <w:r w:rsidRPr="00421048">
        <w:rPr>
          <w:sz w:val="24"/>
          <w:szCs w:val="24"/>
          <w:lang w:bidi="fa-IR"/>
        </w:rPr>
        <w:t>.</w:t>
      </w:r>
      <w:r w:rsidR="00137A39" w:rsidRPr="00421048">
        <w:rPr>
          <w:sz w:val="24"/>
          <w:szCs w:val="24"/>
          <w:rtl/>
          <w:lang w:bidi="fa-IR"/>
        </w:rPr>
        <w:t xml:space="preserve"> </w:t>
      </w:r>
      <w:r w:rsidRPr="00421048">
        <w:rPr>
          <w:sz w:val="24"/>
          <w:szCs w:val="24"/>
          <w:rtl/>
          <w:lang w:bidi="fa-IR"/>
        </w:rPr>
        <w:t>و هذا التقريب انما يتم في بعض الموارد لا جميعها، توضيحه: ان التقييد بقيد يكون بأحد نحوين</w:t>
      </w:r>
      <w:r w:rsidRPr="00421048">
        <w:rPr>
          <w:sz w:val="24"/>
          <w:szCs w:val="24"/>
          <w:lang w:bidi="fa-IR"/>
        </w:rPr>
        <w:t>.</w:t>
      </w:r>
      <w:r w:rsidR="00137A39" w:rsidRPr="00421048">
        <w:rPr>
          <w:sz w:val="24"/>
          <w:szCs w:val="24"/>
          <w:rtl/>
          <w:lang w:bidi="fa-IR"/>
        </w:rPr>
        <w:t xml:space="preserve"> </w:t>
      </w:r>
      <w:r w:rsidRPr="00421048">
        <w:rPr>
          <w:sz w:val="24"/>
          <w:szCs w:val="24"/>
          <w:rtl/>
          <w:lang w:bidi="fa-IR"/>
        </w:rPr>
        <w:t>الأول- ان يكون بحدوثه قيدا للواجب أو الوجوب كالاستطاعة للحج</w:t>
      </w:r>
      <w:r w:rsidRPr="00421048">
        <w:rPr>
          <w:sz w:val="24"/>
          <w:szCs w:val="24"/>
          <w:lang w:bidi="fa-IR"/>
        </w:rPr>
        <w:t>.</w:t>
      </w:r>
      <w:r w:rsidR="00137A39" w:rsidRPr="00421048">
        <w:rPr>
          <w:sz w:val="24"/>
          <w:szCs w:val="24"/>
          <w:rtl/>
          <w:lang w:bidi="fa-IR"/>
        </w:rPr>
        <w:t xml:space="preserve"> </w:t>
      </w:r>
      <w:r w:rsidRPr="00421048">
        <w:rPr>
          <w:sz w:val="24"/>
          <w:szCs w:val="24"/>
          <w:rtl/>
          <w:lang w:bidi="fa-IR"/>
        </w:rPr>
        <w:t>الثاني- ان يكون التقييد بنحو الظرفية أي يشترط حدوثه و بقائه في الوجوب أو الواجب، و هذا يعني بحسب الحقيقة مزيدا من التقييد</w:t>
      </w:r>
      <w:r w:rsidRPr="00421048">
        <w:rPr>
          <w:sz w:val="24"/>
          <w:szCs w:val="24"/>
          <w:lang w:bidi="fa-IR"/>
        </w:rPr>
        <w:t>.</w:t>
      </w:r>
      <w:r w:rsidR="00137A39" w:rsidRPr="00421048">
        <w:rPr>
          <w:sz w:val="24"/>
          <w:szCs w:val="24"/>
          <w:rtl/>
          <w:lang w:bidi="fa-IR"/>
        </w:rPr>
        <w:t xml:space="preserve"> </w:t>
      </w:r>
      <w:r w:rsidRPr="00421048">
        <w:rPr>
          <w:sz w:val="24"/>
          <w:szCs w:val="24"/>
          <w:rtl/>
          <w:lang w:bidi="fa-IR"/>
        </w:rPr>
        <w:t>و حينئذ يقال: تارة يعلم إجمالا بتقييد المادة أو الهيئة على وزان واحد، بان يعلم إجمالا ان حدوث القيام شرط إما في وجوب الصدقة أو في الصدقة الواجبة، أو يعلم ان القيام ظرف للوجوب أو الواجب و في مثل ذلك يتم التقريب المتقدم للانحلال و التمسك بإطلاق الهيئة</w:t>
      </w:r>
      <w:r w:rsidRPr="00421048">
        <w:rPr>
          <w:sz w:val="24"/>
          <w:szCs w:val="24"/>
          <w:lang w:bidi="fa-IR"/>
        </w:rPr>
        <w:t>.</w:t>
      </w:r>
      <w:r w:rsidR="00137A39" w:rsidRPr="00421048">
        <w:rPr>
          <w:sz w:val="24"/>
          <w:szCs w:val="24"/>
          <w:rtl/>
          <w:lang w:bidi="fa-IR"/>
        </w:rPr>
        <w:t xml:space="preserve"> </w:t>
      </w:r>
      <w:r w:rsidRPr="00421048">
        <w:rPr>
          <w:sz w:val="24"/>
          <w:szCs w:val="24"/>
          <w:rtl/>
          <w:lang w:bidi="fa-IR"/>
        </w:rPr>
        <w:t>و أخرى: يعلم إجمالا بتقييد القيام لمدلول الهيئة بنحو الظرفية أو لمدلول المادة بحدوثه، و هنا أيضا يتم تقريب الانحلال للعلم تفصيلا بتقييد المادة بأصل حدوث القيام فلا واجب قبله و يشك في تقييد كل من الهيئة أو المادة بالقيام بنحو الظرفية، فيتمسك بالإطلاق لنفي أصل تقييد الهيئة و تقييد المادة بنحو الظرفية بلا معارض</w:t>
      </w:r>
      <w:r w:rsidRPr="00421048">
        <w:rPr>
          <w:sz w:val="24"/>
          <w:szCs w:val="24"/>
          <w:lang w:bidi="fa-IR"/>
        </w:rPr>
        <w:t>.</w:t>
      </w:r>
      <w:r w:rsidR="000A0CE5" w:rsidRPr="00421048">
        <w:rPr>
          <w:sz w:val="24"/>
          <w:szCs w:val="24"/>
          <w:rtl/>
          <w:lang w:bidi="fa-IR"/>
        </w:rPr>
        <w:t xml:space="preserve"> </w:t>
      </w:r>
      <w:r w:rsidRPr="00421048">
        <w:rPr>
          <w:sz w:val="24"/>
          <w:szCs w:val="24"/>
          <w:rtl/>
          <w:lang w:bidi="fa-IR"/>
        </w:rPr>
        <w:t>و ثالثة: يعلم إجمالا بتقييد مدلول الهيئة بالقيام حدوثا أو مدلول المادة به حدوثا و بقاء، و هنا لا انحلال إذ لا يلزم من تقييد الهيئة بالقيام حدوثا تقيد المادة به الا حدوثا لا بقاء، فيمكن التمسك بالإطلاق لنفي تقييد المادة به بقاء فيعارض الإطلاق في مدلول الهيئة، حيث يعلم إجمالا بأحد التقييدين بحسب الغرض</w:t>
      </w:r>
      <w:r w:rsidRPr="00421048">
        <w:rPr>
          <w:sz w:val="24"/>
          <w:szCs w:val="24"/>
          <w:lang w:bidi="fa-IR"/>
        </w:rPr>
        <w:t>.</w:t>
      </w:r>
      <w:r w:rsidR="000A0CE5" w:rsidRPr="00421048">
        <w:rPr>
          <w:sz w:val="24"/>
          <w:szCs w:val="24"/>
          <w:rtl/>
          <w:lang w:bidi="fa-IR"/>
        </w:rPr>
        <w:t xml:space="preserve"> </w:t>
      </w:r>
      <w:r w:rsidRPr="00421048">
        <w:rPr>
          <w:sz w:val="24"/>
          <w:szCs w:val="24"/>
          <w:rtl/>
          <w:lang w:bidi="fa-IR"/>
        </w:rPr>
        <w:t>و قد يستشكل في هذا التقريب في مورده أيضا بأحد إيرادين</w:t>
      </w:r>
      <w:r w:rsidRPr="00421048">
        <w:rPr>
          <w:sz w:val="24"/>
          <w:szCs w:val="24"/>
          <w:lang w:bidi="fa-IR"/>
        </w:rPr>
        <w:t>.</w:t>
      </w:r>
      <w:r w:rsidR="000A0CE5" w:rsidRPr="00421048">
        <w:rPr>
          <w:sz w:val="24"/>
          <w:szCs w:val="24"/>
          <w:rtl/>
          <w:lang w:bidi="fa-IR"/>
        </w:rPr>
        <w:t xml:space="preserve"> </w:t>
      </w:r>
      <w:r w:rsidRPr="00421048">
        <w:rPr>
          <w:sz w:val="24"/>
          <w:szCs w:val="24"/>
          <w:rtl/>
          <w:lang w:bidi="fa-IR"/>
        </w:rPr>
        <w:t>الأول- ان ما يتولد من التقييد في المادة من خلال تقييد الهيئة انما هو بمعنى عدم وقوع الصدقة قبل القيام مصداقا للواجب من دون ان يلزم من ذلك وجوب إيجاد القيام قبل الصدقة بمعنى تقيدها به، بينما اللازم من تقييد المادة ابتداء قيدية القيام و لزوم إيجاده و هذا غير معلوم على كل حال، فيتمسك بالإطلاق في المادة لنفي هذا المعنى للتقييد</w:t>
      </w:r>
      <w:r w:rsidRPr="00421048">
        <w:rPr>
          <w:sz w:val="24"/>
          <w:szCs w:val="24"/>
          <w:lang w:bidi="fa-IR"/>
        </w:rPr>
        <w:t>.</w:t>
      </w:r>
      <w:r w:rsidR="000A0CE5" w:rsidRPr="00421048">
        <w:rPr>
          <w:sz w:val="24"/>
          <w:szCs w:val="24"/>
          <w:rtl/>
          <w:lang w:bidi="fa-IR"/>
        </w:rPr>
        <w:t xml:space="preserve"> </w:t>
      </w:r>
      <w:r w:rsidRPr="00421048">
        <w:rPr>
          <w:sz w:val="24"/>
          <w:szCs w:val="24"/>
          <w:rtl/>
          <w:lang w:bidi="fa-IR"/>
        </w:rPr>
        <w:t>و فيه: ان تقييد المادة ليس إلّا بمعنى واحد دائما و هو تحصيصها بالقيد و صيرورة التقيد به تحت الأمر و هذا معلوم على كل حال، اما كل من عدم صحة الاجتزاء بما وقع قبل القيد أو الإلزام بتحصيل القيد قبلها فهما من آثار التقييد و ليس نفس التقييد</w:t>
      </w:r>
      <w:r w:rsidRPr="00421048">
        <w:rPr>
          <w:sz w:val="24"/>
          <w:szCs w:val="24"/>
          <w:lang w:bidi="fa-IR"/>
        </w:rPr>
        <w:t>.</w:t>
      </w:r>
      <w:r w:rsidR="000A0CE5" w:rsidRPr="00421048">
        <w:rPr>
          <w:sz w:val="24"/>
          <w:szCs w:val="24"/>
          <w:rtl/>
          <w:lang w:bidi="fa-IR"/>
        </w:rPr>
        <w:t xml:space="preserve"> </w:t>
      </w:r>
      <w:r w:rsidRPr="00421048">
        <w:rPr>
          <w:sz w:val="24"/>
          <w:szCs w:val="24"/>
          <w:rtl/>
          <w:lang w:bidi="fa-IR"/>
        </w:rPr>
        <w:t>و الأثر الأول من آثار تقييد المادة مباشرة، و الأثر الثاني من آثار تقييد المادة بضميمة إطلاق الوجوب من ناحية القيد فيثبت باعتبار معلومية تقييد المادة و إطلاق الهيئة المثبت لإطلاق الوجوب</w:t>
      </w:r>
      <w:r w:rsidRPr="00421048">
        <w:rPr>
          <w:sz w:val="24"/>
          <w:szCs w:val="24"/>
          <w:lang w:bidi="fa-IR"/>
        </w:rPr>
        <w:t>.</w:t>
      </w:r>
      <w:r w:rsidR="000A0CE5" w:rsidRPr="00421048">
        <w:rPr>
          <w:sz w:val="24"/>
          <w:szCs w:val="24"/>
          <w:rtl/>
          <w:lang w:bidi="fa-IR"/>
        </w:rPr>
        <w:t xml:space="preserve"> </w:t>
      </w:r>
      <w:r w:rsidRPr="00421048">
        <w:rPr>
          <w:sz w:val="24"/>
          <w:szCs w:val="24"/>
          <w:rtl/>
          <w:lang w:bidi="fa-IR"/>
        </w:rPr>
        <w:t>الثاني- إنكار لزوم تقيد المادة على كل حال بل لو كان القيد راجعا إلى الهيئة كانت المادة مهملة من ناحية ذلك القيد لا مطلقة و لا مقيدة لاستحالتهما معا، اما الإطلاق فواضح، و اما التقييد فلكونه لغوا صرفا، إذ الغاية من التقييد الأمر بالتقيد و التحريك نحوه، مع إن الأمر بالتقيد بقيد الوجوب تحصيل للحاصل، لأنه يكفي في حصوله خارجا حصول القيد و ذات المقيد و الأول مفروض الحصول و الثاني يكفي فيه‏</w:t>
      </w:r>
      <w:r w:rsidR="000A0CE5" w:rsidRPr="00421048">
        <w:rPr>
          <w:sz w:val="24"/>
          <w:szCs w:val="24"/>
          <w:rtl/>
          <w:lang w:bidi="fa-IR"/>
        </w:rPr>
        <w:t xml:space="preserve"> </w:t>
      </w:r>
      <w:r w:rsidRPr="00421048">
        <w:rPr>
          <w:sz w:val="24"/>
          <w:szCs w:val="24"/>
          <w:rtl/>
          <w:lang w:bidi="fa-IR"/>
        </w:rPr>
        <w:t>الأمر بذات المقيد فأي فائدة للأمر مع ذلك بالتقيد، فإذا ثبت استحالة الإطلاق و التقييد في المادة ثبت الإهمال فيها، و لا بأس به في المقام لأنه ليس إهمالا بلحاظ أصل الحكم ليقال لا يعقل ذلك ثبوتا لدى الحاكم و انما هو إهمال في طرف من أطراف الجعل للاستغناء بتقييد الوجوب عن تقييده، فأصالة الإطلاق في المادة بمعنى عدم التقييد بالقيد المشكوك جارية لأنه مئونة زائدة محتملة في قبال الإهمال، فينفى بالأصل و تكون طرفا للمعار</w:t>
      </w:r>
      <w:r w:rsidR="000A0CE5" w:rsidRPr="00421048">
        <w:rPr>
          <w:sz w:val="24"/>
          <w:szCs w:val="24"/>
          <w:rtl/>
          <w:lang w:bidi="fa-IR"/>
        </w:rPr>
        <w:t xml:space="preserve">ضة مع أصالة الإطلاق في الهيئة </w:t>
      </w:r>
      <w:r w:rsidRPr="00421048">
        <w:rPr>
          <w:sz w:val="24"/>
          <w:szCs w:val="24"/>
          <w:rtl/>
          <w:lang w:bidi="fa-IR"/>
        </w:rPr>
        <w:t>و فيه: انه مبني على ان يكون التقابل بين الإطلاق و التقييد تقابل الضدين اللذين لهما ثالث، و قد نقحنا في بحث المطلق و المقيد ان التقابل بينهما تقابل السلب و الإيجاب فلا تتصور واسطة بينهما باسم الإهمال</w:t>
      </w:r>
      <w:r w:rsidRPr="00421048">
        <w:rPr>
          <w:sz w:val="24"/>
          <w:szCs w:val="24"/>
          <w:lang w:bidi="fa-IR"/>
        </w:rPr>
        <w:t>.</w:t>
      </w:r>
      <w:r w:rsidR="000A0CE5" w:rsidRPr="00421048">
        <w:rPr>
          <w:sz w:val="24"/>
          <w:szCs w:val="24"/>
          <w:rtl/>
          <w:lang w:bidi="fa-IR"/>
        </w:rPr>
        <w:t xml:space="preserve"> </w:t>
      </w:r>
      <w:r w:rsidRPr="00421048">
        <w:rPr>
          <w:sz w:val="24"/>
          <w:szCs w:val="24"/>
          <w:rtl/>
          <w:lang w:bidi="fa-IR"/>
        </w:rPr>
        <w:t>و هكذا يتضح صحة التقريب الثالث في المورد الّذي يكون وزان التقييد المردد لكل منهما على نسق واحد</w:t>
      </w:r>
      <w:r w:rsidRPr="00421048">
        <w:rPr>
          <w:sz w:val="24"/>
          <w:szCs w:val="24"/>
          <w:lang w:bidi="fa-IR"/>
        </w:rPr>
        <w:t>.</w:t>
      </w:r>
      <w:r w:rsidR="000A0CE5" w:rsidRPr="00421048">
        <w:rPr>
          <w:sz w:val="24"/>
          <w:szCs w:val="24"/>
          <w:rtl/>
          <w:lang w:bidi="fa-IR"/>
        </w:rPr>
        <w:t xml:space="preserve"> </w:t>
      </w:r>
      <w:r w:rsidRPr="00421048">
        <w:rPr>
          <w:sz w:val="24"/>
          <w:szCs w:val="24"/>
          <w:rtl/>
          <w:lang w:bidi="fa-IR"/>
        </w:rPr>
        <w:t>المقام الثاني‏</w:t>
      </w:r>
      <w:r w:rsidRPr="00421048">
        <w:rPr>
          <w:sz w:val="24"/>
          <w:szCs w:val="24"/>
          <w:lang w:bidi="fa-IR"/>
        </w:rPr>
        <w:t xml:space="preserve"> </w:t>
      </w:r>
      <w:r w:rsidRPr="00421048">
        <w:rPr>
          <w:sz w:val="24"/>
          <w:szCs w:val="24"/>
          <w:rtl/>
          <w:lang w:bidi="fa-IR"/>
        </w:rPr>
        <w:t>فيما إذا كان دليل التقييد متصلا. و التحقيق: انه تارة: يكون القيد المتصل بحسب لسان دليله مطلبا مستقلا و لازما أعم للجامع بين تقييد المادة أو الهيئة من دون ان يكون متجها إلى إحداهما بالخصوص، كما إذا قال (تصدق و لا نجزي الصدقة قبل القيام</w:t>
      </w:r>
      <w:r w:rsidR="000A0CE5" w:rsidRPr="00421048">
        <w:rPr>
          <w:sz w:val="24"/>
          <w:szCs w:val="24"/>
          <w:rtl/>
          <w:lang w:bidi="fa-IR"/>
        </w:rPr>
        <w:t xml:space="preserve">. </w:t>
      </w:r>
      <w:r w:rsidRPr="00421048">
        <w:rPr>
          <w:sz w:val="24"/>
          <w:szCs w:val="24"/>
          <w:rtl/>
          <w:lang w:bidi="fa-IR"/>
        </w:rPr>
        <w:t>و أخرى يفرض ان لسان القيد متجه إلى أحد الأمرين من الهيئة أو المادة بالخصوص أو يصلح لذلك و نحن لا نعرف انه قيد لأيهما، كما إذا قال (تصدق قائما). ففي الفرض الأول يكون مقتضى الإطلاق في كل منهما تاما ذاتا، فإذا كان أحد المقتضيين أقوى قدم و جعل قرينة متصلة على تقييد الآخر و إلّا تعارضا و تساقطا، هذا إذا لم نبن على ما ذكرناه في التقريب الثالث من رجوع التقييد إلى المادة على كل حال و إلّا كانت مقدمات الحكمة منخرمة فيها و يتم إطلاق الهيئة</w:t>
      </w:r>
      <w:r w:rsidR="000A0CE5" w:rsidRPr="00421048">
        <w:rPr>
          <w:sz w:val="24"/>
          <w:szCs w:val="24"/>
          <w:lang w:bidi="fa-IR"/>
        </w:rPr>
        <w:t xml:space="preserve"> </w:t>
      </w:r>
      <w:r w:rsidRPr="00421048">
        <w:rPr>
          <w:sz w:val="24"/>
          <w:szCs w:val="24"/>
          <w:rtl/>
          <w:lang w:bidi="fa-IR"/>
        </w:rPr>
        <w:t>إذا كان الإهمال الثبوتي في قوة الإطلاق هنا بحيث تصدق المادة على الصدقة الواقعة صدفة قبل القيام كان ما أفيد من أن التقييد لغو فاسدا، إذ من دونه لا يحفظ تقيد الصدقة بكونها بعد القيام و إذا كان الإهمال في قوة التقييد لم تجر أصالة عدم التقييد في قبال الإهمال إذ ليس فيه مئونة زائدة بحسب النتيجة و ان كان فيه مئونة زائدة على صعيد اللحاظ إذ المعيار في المئونة بالاعتبار الأول</w:t>
      </w:r>
      <w:r w:rsidRPr="00421048">
        <w:rPr>
          <w:sz w:val="24"/>
          <w:szCs w:val="24"/>
          <w:lang w:bidi="fa-IR"/>
        </w:rPr>
        <w:t>.</w:t>
      </w:r>
      <w:r w:rsidR="000A0CE5" w:rsidRPr="00421048">
        <w:rPr>
          <w:sz w:val="24"/>
          <w:szCs w:val="24"/>
          <w:rtl/>
          <w:lang w:bidi="fa-IR"/>
        </w:rPr>
        <w:t xml:space="preserve"> </w:t>
      </w:r>
      <w:r w:rsidRPr="00421048">
        <w:rPr>
          <w:sz w:val="24"/>
          <w:szCs w:val="24"/>
          <w:rtl/>
          <w:lang w:bidi="fa-IR"/>
        </w:rPr>
        <w:t>و أما الفرض الثاني فالحكم فيه هو الإجمال على كل حال، لأنه من الإجمال و الشك في أصل انعقاد الظهور الإطلاقي ذاتا على جميع المسالك و التقريبات فلا يمكن التمسك بإطلاق الهيئة لإثبات سعة الوجوب</w:t>
      </w:r>
      <w:r w:rsidR="000A0CE5" w:rsidRPr="00421048">
        <w:rPr>
          <w:sz w:val="24"/>
          <w:szCs w:val="24"/>
          <w:rtl/>
          <w:lang w:bidi="fa-IR"/>
        </w:rPr>
        <w:t>. بحوث في علم الأصول، ج‏2، ص: 214</w:t>
      </w:r>
    </w:p>
  </w:footnote>
  <w:footnote w:id="2">
    <w:p w:rsidR="00A63701" w:rsidRPr="00421048" w:rsidRDefault="00A63701" w:rsidP="00DF5A73">
      <w:pPr>
        <w:bidi/>
        <w:rPr>
          <w:sz w:val="24"/>
          <w:szCs w:val="24"/>
          <w:rtl/>
          <w:lang w:bidi="fa-IR"/>
        </w:rPr>
      </w:pPr>
      <w:r w:rsidRPr="00421048">
        <w:rPr>
          <w:rStyle w:val="FootnoteReference"/>
          <w:sz w:val="24"/>
          <w:szCs w:val="24"/>
        </w:rPr>
        <w:footnoteRef/>
      </w:r>
      <w:r w:rsidRPr="00421048">
        <w:rPr>
          <w:sz w:val="24"/>
          <w:szCs w:val="24"/>
        </w:rPr>
        <w:t xml:space="preserve"> </w:t>
      </w:r>
      <w:r w:rsidRPr="00421048">
        <w:rPr>
          <w:sz w:val="24"/>
          <w:szCs w:val="24"/>
          <w:rtl/>
          <w:lang w:bidi="fa-IR"/>
        </w:rPr>
        <w:t>. منتقى الأصول، ج‏2، ص: 201</w:t>
      </w:r>
    </w:p>
  </w:footnote>
  <w:footnote w:id="3">
    <w:p w:rsidR="00D511B8" w:rsidRPr="00421048" w:rsidRDefault="00D511B8" w:rsidP="00BC27F9">
      <w:pPr>
        <w:pStyle w:val="NormalWeb"/>
        <w:bidi/>
        <w:spacing w:before="0" w:beforeAutospacing="0" w:after="0" w:afterAutospacing="0"/>
        <w:jc w:val="both"/>
        <w:rPr>
          <w:rFonts w:ascii="Noor_Badr" w:hAnsi="Noor_Badr" w:cs="Noor_Badr"/>
          <w:sz w:val="24"/>
          <w:szCs w:val="24"/>
          <w:rtl/>
          <w:lang w:bidi="fa-IR"/>
        </w:rPr>
      </w:pPr>
      <w:r w:rsidRPr="00421048">
        <w:rPr>
          <w:rStyle w:val="FootnoteReference"/>
          <w:rFonts w:ascii="Noor_Badr" w:hAnsi="Noor_Badr" w:cs="Noor_Badr"/>
          <w:sz w:val="24"/>
          <w:szCs w:val="24"/>
        </w:rPr>
        <w:footnoteRef/>
      </w:r>
      <w:r w:rsidRPr="00421048">
        <w:rPr>
          <w:rFonts w:ascii="Noor_Badr" w:hAnsi="Noor_Badr" w:cs="Noor_Badr"/>
          <w:sz w:val="24"/>
          <w:szCs w:val="24"/>
        </w:rPr>
        <w:t xml:space="preserve"> </w:t>
      </w:r>
      <w:r w:rsidRPr="00421048">
        <w:rPr>
          <w:rFonts w:ascii="Noor_Badr" w:hAnsi="Noor_Badr" w:cs="Noor_Badr"/>
          <w:sz w:val="24"/>
          <w:szCs w:val="24"/>
          <w:rtl/>
          <w:lang w:bidi="fa-IR"/>
        </w:rPr>
        <w:t>. نهاية الأفكار، ج‏2، ص: 401</w:t>
      </w:r>
    </w:p>
  </w:footnote>
  <w:footnote w:id="4">
    <w:p w:rsidR="00DF5A73" w:rsidRPr="00421048" w:rsidRDefault="00DF5A73" w:rsidP="00BC27F9">
      <w:pPr>
        <w:pStyle w:val="NormalWeb"/>
        <w:bidi/>
        <w:spacing w:before="0" w:beforeAutospacing="0" w:after="0" w:afterAutospacing="0"/>
        <w:jc w:val="both"/>
        <w:rPr>
          <w:rFonts w:ascii="Noor_Badr" w:hAnsi="Noor_Badr" w:cs="Noor_Badr"/>
          <w:sz w:val="24"/>
          <w:szCs w:val="24"/>
          <w:rtl/>
          <w:lang w:bidi="fa-IR"/>
        </w:rPr>
      </w:pPr>
      <w:r w:rsidRPr="00421048">
        <w:rPr>
          <w:rStyle w:val="FootnoteReference"/>
          <w:rFonts w:ascii="Noor_Badr" w:hAnsi="Noor_Badr" w:cs="Noor_Badr"/>
          <w:sz w:val="24"/>
          <w:szCs w:val="24"/>
        </w:rPr>
        <w:footnoteRef/>
      </w:r>
      <w:r w:rsidRPr="00421048">
        <w:rPr>
          <w:rFonts w:ascii="Noor_Badr" w:hAnsi="Noor_Badr" w:cs="Noor_Badr"/>
          <w:sz w:val="24"/>
          <w:szCs w:val="24"/>
        </w:rPr>
        <w:t xml:space="preserve"> </w:t>
      </w:r>
      <w:r w:rsidRPr="00421048">
        <w:rPr>
          <w:rFonts w:ascii="Noor_Badr" w:hAnsi="Noor_Badr" w:cs="Noor_Badr"/>
          <w:sz w:val="24"/>
          <w:szCs w:val="24"/>
          <w:rtl/>
          <w:lang w:bidi="fa-IR"/>
        </w:rPr>
        <w:t>. محاضرات فى أصول الفقه ( طبع موسسة احياء آثار السيد الخوئي )، ج‏2، ص: 173</w:t>
      </w:r>
    </w:p>
  </w:footnote>
  <w:footnote w:id="5">
    <w:p w:rsidR="00CA4896" w:rsidRPr="00421048" w:rsidRDefault="00CA4896" w:rsidP="00CA4896">
      <w:pPr>
        <w:pStyle w:val="FootnoteText"/>
        <w:bidi/>
        <w:rPr>
          <w:sz w:val="24"/>
          <w:szCs w:val="24"/>
          <w:rtl/>
          <w:lang w:bidi="fa-IR"/>
        </w:rPr>
      </w:pPr>
      <w:r w:rsidRPr="00421048">
        <w:rPr>
          <w:rStyle w:val="FootnoteReference"/>
          <w:sz w:val="24"/>
          <w:szCs w:val="24"/>
        </w:rPr>
        <w:footnoteRef/>
      </w:r>
      <w:r w:rsidRPr="00421048">
        <w:rPr>
          <w:sz w:val="24"/>
          <w:szCs w:val="24"/>
        </w:rPr>
        <w:t xml:space="preserve"> </w:t>
      </w:r>
      <w:r w:rsidRPr="00421048">
        <w:rPr>
          <w:rFonts w:hint="cs"/>
          <w:sz w:val="24"/>
          <w:szCs w:val="24"/>
          <w:rtl/>
          <w:lang w:bidi="fa-IR"/>
        </w:rPr>
        <w:t xml:space="preserve">. </w:t>
      </w:r>
      <w:r w:rsidRPr="00421048">
        <w:rPr>
          <w:sz w:val="24"/>
          <w:szCs w:val="24"/>
          <w:rtl/>
          <w:lang w:bidi="fa-IR"/>
        </w:rPr>
        <w:t>تهذيب الأصول، ج‏1، ص: 186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D02"/>
    <w:rsid w:val="000844FA"/>
    <w:rsid w:val="000A0CE5"/>
    <w:rsid w:val="0011265A"/>
    <w:rsid w:val="00137A39"/>
    <w:rsid w:val="00180CC9"/>
    <w:rsid w:val="001F0588"/>
    <w:rsid w:val="00237D72"/>
    <w:rsid w:val="002839C2"/>
    <w:rsid w:val="00292403"/>
    <w:rsid w:val="00296B1E"/>
    <w:rsid w:val="002B24B5"/>
    <w:rsid w:val="002B25B5"/>
    <w:rsid w:val="00391157"/>
    <w:rsid w:val="003A3510"/>
    <w:rsid w:val="00421048"/>
    <w:rsid w:val="0049738A"/>
    <w:rsid w:val="004E544F"/>
    <w:rsid w:val="0061776F"/>
    <w:rsid w:val="006A4C8A"/>
    <w:rsid w:val="006A6AC2"/>
    <w:rsid w:val="006F225E"/>
    <w:rsid w:val="007537B6"/>
    <w:rsid w:val="00810D02"/>
    <w:rsid w:val="008340BE"/>
    <w:rsid w:val="008518C0"/>
    <w:rsid w:val="008C2541"/>
    <w:rsid w:val="008E13DD"/>
    <w:rsid w:val="00A0778F"/>
    <w:rsid w:val="00A22A96"/>
    <w:rsid w:val="00A6114E"/>
    <w:rsid w:val="00A63701"/>
    <w:rsid w:val="00A95ADB"/>
    <w:rsid w:val="00AC76DE"/>
    <w:rsid w:val="00AF4844"/>
    <w:rsid w:val="00B03FF4"/>
    <w:rsid w:val="00B50D99"/>
    <w:rsid w:val="00BA7122"/>
    <w:rsid w:val="00BC27F9"/>
    <w:rsid w:val="00C36553"/>
    <w:rsid w:val="00C73B78"/>
    <w:rsid w:val="00CA4896"/>
    <w:rsid w:val="00CC2B91"/>
    <w:rsid w:val="00CF58F6"/>
    <w:rsid w:val="00D129F1"/>
    <w:rsid w:val="00D34E95"/>
    <w:rsid w:val="00D511B8"/>
    <w:rsid w:val="00D66E40"/>
    <w:rsid w:val="00DF5A73"/>
    <w:rsid w:val="00E01157"/>
    <w:rsid w:val="00E02065"/>
    <w:rsid w:val="00E307FE"/>
    <w:rsid w:val="00E51E23"/>
    <w:rsid w:val="00E67A17"/>
    <w:rsid w:val="00F54D83"/>
    <w:rsid w:val="00F7491F"/>
    <w:rsid w:val="00FA64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9738A"/>
    <w:rPr>
      <w:sz w:val="20"/>
      <w:szCs w:val="20"/>
    </w:rPr>
  </w:style>
  <w:style w:type="character" w:customStyle="1" w:styleId="FootnoteTextChar">
    <w:name w:val="Footnote Text Char"/>
    <w:basedOn w:val="DefaultParagraphFont"/>
    <w:link w:val="FootnoteText"/>
    <w:uiPriority w:val="99"/>
    <w:semiHidden/>
    <w:rsid w:val="0049738A"/>
    <w:rPr>
      <w:sz w:val="20"/>
      <w:szCs w:val="20"/>
    </w:rPr>
  </w:style>
  <w:style w:type="character" w:styleId="FootnoteReference">
    <w:name w:val="footnote reference"/>
    <w:basedOn w:val="DefaultParagraphFont"/>
    <w:uiPriority w:val="99"/>
    <w:semiHidden/>
    <w:unhideWhenUsed/>
    <w:rsid w:val="0049738A"/>
    <w:rPr>
      <w:vertAlign w:val="superscript"/>
    </w:rPr>
  </w:style>
  <w:style w:type="paragraph" w:styleId="NormalWeb">
    <w:name w:val="Normal (Web)"/>
    <w:basedOn w:val="Normal"/>
    <w:uiPriority w:val="99"/>
    <w:unhideWhenUsed/>
    <w:rsid w:val="00D511B8"/>
    <w:pPr>
      <w:spacing w:before="100" w:beforeAutospacing="1" w:after="100" w:afterAutospacing="1"/>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9738A"/>
    <w:rPr>
      <w:sz w:val="20"/>
      <w:szCs w:val="20"/>
    </w:rPr>
  </w:style>
  <w:style w:type="character" w:customStyle="1" w:styleId="FootnoteTextChar">
    <w:name w:val="Footnote Text Char"/>
    <w:basedOn w:val="DefaultParagraphFont"/>
    <w:link w:val="FootnoteText"/>
    <w:uiPriority w:val="99"/>
    <w:semiHidden/>
    <w:rsid w:val="0049738A"/>
    <w:rPr>
      <w:sz w:val="20"/>
      <w:szCs w:val="20"/>
    </w:rPr>
  </w:style>
  <w:style w:type="character" w:styleId="FootnoteReference">
    <w:name w:val="footnote reference"/>
    <w:basedOn w:val="DefaultParagraphFont"/>
    <w:uiPriority w:val="99"/>
    <w:semiHidden/>
    <w:unhideWhenUsed/>
    <w:rsid w:val="0049738A"/>
    <w:rPr>
      <w:vertAlign w:val="superscript"/>
    </w:rPr>
  </w:style>
  <w:style w:type="paragraph" w:styleId="NormalWeb">
    <w:name w:val="Normal (Web)"/>
    <w:basedOn w:val="Normal"/>
    <w:uiPriority w:val="99"/>
    <w:unhideWhenUsed/>
    <w:rsid w:val="00D511B8"/>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155019">
      <w:bodyDiv w:val="1"/>
      <w:marLeft w:val="0"/>
      <w:marRight w:val="0"/>
      <w:marTop w:val="0"/>
      <w:marBottom w:val="0"/>
      <w:divBdr>
        <w:top w:val="none" w:sz="0" w:space="0" w:color="auto"/>
        <w:left w:val="none" w:sz="0" w:space="0" w:color="auto"/>
        <w:bottom w:val="none" w:sz="0" w:space="0" w:color="auto"/>
        <w:right w:val="none" w:sz="0" w:space="0" w:color="auto"/>
      </w:divBdr>
    </w:div>
    <w:div w:id="558440342">
      <w:bodyDiv w:val="1"/>
      <w:marLeft w:val="0"/>
      <w:marRight w:val="0"/>
      <w:marTop w:val="0"/>
      <w:marBottom w:val="0"/>
      <w:divBdr>
        <w:top w:val="none" w:sz="0" w:space="0" w:color="auto"/>
        <w:left w:val="none" w:sz="0" w:space="0" w:color="auto"/>
        <w:bottom w:val="none" w:sz="0" w:space="0" w:color="auto"/>
        <w:right w:val="none" w:sz="0" w:space="0" w:color="auto"/>
      </w:divBdr>
    </w:div>
    <w:div w:id="687215806">
      <w:bodyDiv w:val="1"/>
      <w:marLeft w:val="0"/>
      <w:marRight w:val="0"/>
      <w:marTop w:val="0"/>
      <w:marBottom w:val="0"/>
      <w:divBdr>
        <w:top w:val="none" w:sz="0" w:space="0" w:color="auto"/>
        <w:left w:val="none" w:sz="0" w:space="0" w:color="auto"/>
        <w:bottom w:val="none" w:sz="0" w:space="0" w:color="auto"/>
        <w:right w:val="none" w:sz="0" w:space="0" w:color="auto"/>
      </w:divBdr>
    </w:div>
    <w:div w:id="120791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51</cp:revision>
  <dcterms:created xsi:type="dcterms:W3CDTF">2019-11-17T03:03:00Z</dcterms:created>
  <dcterms:modified xsi:type="dcterms:W3CDTF">2019-11-19T02:56:00Z</dcterms:modified>
</cp:coreProperties>
</file>